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130306095"/>
        <w:docPartObj>
          <w:docPartGallery w:val="Cover Pages"/>
          <w:docPartUnique/>
        </w:docPartObj>
      </w:sdtPr>
      <w:sdtEndPr>
        <w:rPr>
          <w:rFonts w:ascii="Helvetica Neue" w:hAnsi="Helvetica Neue"/>
        </w:rPr>
      </w:sdtEndPr>
      <w:sdtContent>
        <w:p w14:paraId="6DBF547B" w14:textId="71729DAD" w:rsidR="00D1108A" w:rsidRPr="000E7999" w:rsidRDefault="00D1108A">
          <w:pPr>
            <w:sectPr w:rsidR="00D1108A" w:rsidRPr="000E7999" w:rsidSect="00735C55">
              <w:footerReference w:type="even" r:id="rId8"/>
              <w:footerReference w:type="default" r:id="rId9"/>
              <w:pgSz w:w="12240" w:h="15840"/>
              <w:pgMar w:top="1440" w:right="1080" w:bottom="1440" w:left="1080" w:header="432" w:footer="432" w:gutter="0"/>
              <w:pgNumType w:start="0"/>
              <w:cols w:space="720"/>
              <w:titlePg/>
              <w:docGrid w:linePitch="360"/>
            </w:sectPr>
          </w:pPr>
          <w:r>
            <w:rPr>
              <w:noProof/>
            </w:rPr>
            <w:drawing>
              <wp:anchor distT="0" distB="0" distL="114300" distR="114300" simplePos="0" relativeHeight="251683840" behindDoc="1" locked="0" layoutInCell="1" allowOverlap="1" wp14:anchorId="315DA9C5" wp14:editId="52A0888A">
                <wp:simplePos x="0" y="0"/>
                <wp:positionH relativeFrom="column">
                  <wp:posOffset>-714375</wp:posOffset>
                </wp:positionH>
                <wp:positionV relativeFrom="paragraph">
                  <wp:posOffset>-990600</wp:posOffset>
                </wp:positionV>
                <wp:extent cx="7810500" cy="10553700"/>
                <wp:effectExtent l="0" t="0" r="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pic:cNvPicPr preferRelativeResize="0">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810500" cy="1055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0B83EA" w14:textId="764B92AC" w:rsidR="00634472" w:rsidRPr="00634472" w:rsidRDefault="00634472" w:rsidP="00460493">
          <w:pPr>
            <w:rPr>
              <w:rFonts w:ascii="Helvetica Neue" w:hAnsi="Helvetica Neue"/>
              <w:color w:val="215868" w:themeColor="accent5" w:themeShade="80"/>
              <w:sz w:val="28"/>
              <w:szCs w:val="28"/>
            </w:rPr>
          </w:pPr>
          <w:r w:rsidRPr="00634472">
            <w:rPr>
              <w:rFonts w:ascii="Helvetica Neue" w:hAnsi="Helvetica Neue"/>
              <w:b/>
              <w:bCs/>
              <w:color w:val="215868" w:themeColor="accent5" w:themeShade="80"/>
              <w:sz w:val="28"/>
              <w:szCs w:val="28"/>
            </w:rPr>
            <w:lastRenderedPageBreak/>
            <w:t>Authors</w:t>
          </w:r>
        </w:p>
        <w:p w14:paraId="509BE5E5" w14:textId="145839E3" w:rsidR="00634472" w:rsidRPr="00634472" w:rsidRDefault="00634472" w:rsidP="000E7999">
          <w:pPr>
            <w:spacing w:after="120" w:line="360" w:lineRule="auto"/>
            <w:contextualSpacing/>
            <w:rPr>
              <w:rFonts w:ascii="Helvetica Neue" w:hAnsi="Helvetica Neue"/>
            </w:rPr>
          </w:pPr>
          <w:r w:rsidRPr="00634472">
            <w:rPr>
              <w:rFonts w:ascii="Helvetica Neue" w:hAnsi="Helvetica Neue"/>
            </w:rPr>
            <w:t>Lynn Silver, MD, MPH</w:t>
          </w:r>
        </w:p>
        <w:p w14:paraId="3021FAA8" w14:textId="0F2E2E63" w:rsidR="000E7999" w:rsidRDefault="00634472" w:rsidP="000E7999">
          <w:pPr>
            <w:spacing w:after="480" w:line="360" w:lineRule="auto"/>
            <w:contextualSpacing/>
            <w:rPr>
              <w:rFonts w:ascii="Helvetica Neue" w:hAnsi="Helvetica Neue"/>
            </w:rPr>
          </w:pPr>
          <w:r w:rsidRPr="00634472">
            <w:rPr>
              <w:rFonts w:ascii="Helvetica Neue" w:hAnsi="Helvetica Neue"/>
            </w:rPr>
            <w:t xml:space="preserve">Alisa Padon, PhD </w:t>
          </w:r>
        </w:p>
        <w:p w14:paraId="0DBE7CC4" w14:textId="0ACCB814" w:rsidR="000E7999" w:rsidRDefault="000E7999" w:rsidP="000E7999">
          <w:pPr>
            <w:spacing w:after="480" w:line="360" w:lineRule="auto"/>
            <w:contextualSpacing/>
            <w:rPr>
              <w:rFonts w:ascii="Helvetica Neue" w:hAnsi="Helvetica Neue"/>
            </w:rPr>
          </w:pPr>
          <w:proofErr w:type="spellStart"/>
          <w:r>
            <w:rPr>
              <w:rFonts w:ascii="Helvetica Neue" w:hAnsi="Helvetica Neue"/>
            </w:rPr>
            <w:t>Aurash</w:t>
          </w:r>
          <w:proofErr w:type="spellEnd"/>
          <w:r>
            <w:rPr>
              <w:rFonts w:ascii="Helvetica Neue" w:hAnsi="Helvetica Neue"/>
            </w:rPr>
            <w:t xml:space="preserve"> </w:t>
          </w:r>
          <w:proofErr w:type="spellStart"/>
          <w:r>
            <w:rPr>
              <w:rFonts w:ascii="Helvetica Neue" w:hAnsi="Helvetica Neue"/>
            </w:rPr>
            <w:t>Soroosh</w:t>
          </w:r>
          <w:proofErr w:type="spellEnd"/>
          <w:r>
            <w:rPr>
              <w:rFonts w:ascii="Helvetica Neue" w:hAnsi="Helvetica Neue"/>
            </w:rPr>
            <w:t>, RD, MPH</w:t>
          </w:r>
        </w:p>
        <w:p w14:paraId="23CCDC77" w14:textId="77777777" w:rsidR="0039168A" w:rsidRDefault="0039168A" w:rsidP="0039168A">
          <w:pPr>
            <w:spacing w:after="480" w:line="360" w:lineRule="auto"/>
            <w:contextualSpacing/>
            <w:rPr>
              <w:rFonts w:ascii="Helvetica Neue" w:hAnsi="Helvetica Neue"/>
            </w:rPr>
          </w:pPr>
          <w:r>
            <w:rPr>
              <w:rFonts w:ascii="Helvetica Neue" w:hAnsi="Helvetica Neue"/>
            </w:rPr>
            <w:t xml:space="preserve">Amanda </w:t>
          </w:r>
          <w:proofErr w:type="spellStart"/>
          <w:r>
            <w:rPr>
              <w:rFonts w:ascii="Helvetica Neue" w:hAnsi="Helvetica Neue"/>
            </w:rPr>
            <w:t>Naprawa</w:t>
          </w:r>
          <w:proofErr w:type="spellEnd"/>
          <w:r>
            <w:rPr>
              <w:rFonts w:ascii="Helvetica Neue" w:hAnsi="Helvetica Neue"/>
            </w:rPr>
            <w:t>, JD, MPH</w:t>
          </w:r>
        </w:p>
        <w:p w14:paraId="1F533DCC" w14:textId="388C179C" w:rsidR="000E7999" w:rsidRPr="000E7999" w:rsidRDefault="000E7999" w:rsidP="000E7999">
          <w:pPr>
            <w:spacing w:after="480" w:line="360" w:lineRule="auto"/>
            <w:contextualSpacing/>
            <w:rPr>
              <w:rFonts w:ascii="Helvetica Neue" w:hAnsi="Helvetica Neue"/>
            </w:rPr>
          </w:pPr>
          <w:r>
            <w:rPr>
              <w:rFonts w:ascii="Helvetica Neue" w:hAnsi="Helvetica Neue"/>
            </w:rPr>
            <w:t>Kiara Gonzalez Garcia</w:t>
          </w:r>
        </w:p>
        <w:p w14:paraId="115ECF7B" w14:textId="15880C79" w:rsidR="00634472" w:rsidRPr="00634472" w:rsidRDefault="00634472" w:rsidP="00634472">
          <w:pPr>
            <w:spacing w:after="360"/>
            <w:rPr>
              <w:rFonts w:ascii="Helvetica Neue" w:hAnsi="Helvetica Neue"/>
              <w:color w:val="215868" w:themeColor="accent5" w:themeShade="80"/>
              <w:sz w:val="28"/>
              <w:szCs w:val="28"/>
            </w:rPr>
          </w:pPr>
          <w:r w:rsidRPr="00634472">
            <w:rPr>
              <w:rFonts w:ascii="Helvetica Neue" w:hAnsi="Helvetica Neue"/>
              <w:b/>
              <w:bCs/>
              <w:color w:val="215868" w:themeColor="accent5" w:themeShade="80"/>
              <w:sz w:val="28"/>
              <w:szCs w:val="28"/>
            </w:rPr>
            <w:t>Support</w:t>
          </w:r>
        </w:p>
        <w:p w14:paraId="624C4454" w14:textId="61CA0BA4" w:rsidR="00634472" w:rsidRPr="00634472" w:rsidRDefault="00634472" w:rsidP="00634472">
          <w:pPr>
            <w:spacing w:after="600"/>
            <w:rPr>
              <w:rFonts w:ascii="Helvetica Neue" w:hAnsi="Helvetica Neue"/>
            </w:rPr>
          </w:pPr>
          <w:r w:rsidRPr="00656F91">
            <w:rPr>
              <w:rFonts w:ascii="Helvetica Neue" w:hAnsi="Helvetica Neue"/>
              <w:noProof/>
            </w:rPr>
            <w:drawing>
              <wp:inline distT="0" distB="0" distL="0" distR="0" wp14:anchorId="32D7C9A6" wp14:editId="0F2ADDA3">
                <wp:extent cx="1158875" cy="1217930"/>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ton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8875" cy="1217930"/>
                        </a:xfrm>
                        <a:prstGeom prst="rect">
                          <a:avLst/>
                        </a:prstGeom>
                      </pic:spPr>
                    </pic:pic>
                  </a:graphicData>
                </a:graphic>
              </wp:inline>
            </w:drawing>
          </w:r>
          <w:r>
            <w:rPr>
              <w:rFonts w:ascii="Helvetica Neue" w:hAnsi="Helvetica Neue"/>
            </w:rPr>
            <w:tab/>
          </w:r>
          <w:r>
            <w:rPr>
              <w:rFonts w:ascii="Helvetica Neue" w:hAnsi="Helvetica Neue"/>
            </w:rPr>
            <w:tab/>
          </w:r>
          <w:r w:rsidRPr="003B57E1">
            <w:rPr>
              <w:rFonts w:ascii="Helvetica Neue" w:hAnsi="Helvetica Neue"/>
              <w:i/>
              <w:noProof/>
              <w:color w:val="000000" w:themeColor="text1"/>
            </w:rPr>
            <w:drawing>
              <wp:inline distT="0" distB="0" distL="0" distR="0" wp14:anchorId="3544FE4F" wp14:editId="4213EF1C">
                <wp:extent cx="1253490" cy="907415"/>
                <wp:effectExtent l="0" t="0" r="381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ogo-color.pd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3490" cy="907415"/>
                        </a:xfrm>
                        <a:prstGeom prst="rect">
                          <a:avLst/>
                        </a:prstGeom>
                      </pic:spPr>
                    </pic:pic>
                  </a:graphicData>
                </a:graphic>
              </wp:inline>
            </w:drawing>
          </w:r>
        </w:p>
        <w:p w14:paraId="02D3D73A" w14:textId="77777777" w:rsidR="00634472" w:rsidRPr="00634472" w:rsidRDefault="00634472" w:rsidP="00634472">
          <w:pPr>
            <w:rPr>
              <w:rFonts w:ascii="Helvetica Neue" w:hAnsi="Helvetica Neue"/>
              <w:b/>
              <w:bCs/>
              <w:color w:val="215868" w:themeColor="accent5" w:themeShade="80"/>
              <w:sz w:val="28"/>
              <w:szCs w:val="28"/>
            </w:rPr>
          </w:pPr>
          <w:r w:rsidRPr="00634472">
            <w:rPr>
              <w:rFonts w:ascii="Helvetica Neue" w:hAnsi="Helvetica Neue"/>
              <w:b/>
              <w:bCs/>
              <w:color w:val="215868" w:themeColor="accent5" w:themeShade="80"/>
              <w:sz w:val="28"/>
              <w:szCs w:val="28"/>
            </w:rPr>
            <w:t xml:space="preserve">Getting it Right from the Start </w:t>
          </w:r>
        </w:p>
        <w:p w14:paraId="13F46F37" w14:textId="77777777" w:rsidR="00634472" w:rsidRPr="00634472" w:rsidRDefault="00634472" w:rsidP="00460493">
          <w:pPr>
            <w:spacing w:after="120"/>
            <w:rPr>
              <w:rFonts w:ascii="Helvetica Neue" w:hAnsi="Helvetica Neue"/>
              <w:i/>
              <w:iCs/>
            </w:rPr>
          </w:pPr>
          <w:r w:rsidRPr="00634472">
            <w:rPr>
              <w:rFonts w:ascii="Helvetica Neue" w:hAnsi="Helvetica Neue"/>
              <w:i/>
              <w:iCs/>
            </w:rPr>
            <w:t>A project of the Public Health Institute</w:t>
          </w:r>
        </w:p>
        <w:p w14:paraId="235B4BBB" w14:textId="5FDD8186" w:rsidR="00634472" w:rsidRPr="00634472" w:rsidRDefault="004D728C" w:rsidP="00460493">
          <w:pPr>
            <w:spacing w:after="120"/>
            <w:rPr>
              <w:rFonts w:ascii="Helvetica Neue" w:hAnsi="Helvetica Neue"/>
              <w:i/>
              <w:iCs/>
            </w:rPr>
          </w:pPr>
          <w:hyperlink r:id="rId13" w:history="1">
            <w:r w:rsidR="00634472" w:rsidRPr="00DE1E99">
              <w:rPr>
                <w:rStyle w:val="Hyperlink"/>
                <w:rFonts w:ascii="Helvetica Neue" w:hAnsi="Helvetica Neue"/>
                <w:i/>
                <w:iCs/>
              </w:rPr>
              <w:t>www.gettingitrightfromthestart.org</w:t>
            </w:r>
          </w:hyperlink>
        </w:p>
        <w:p w14:paraId="6EF819C2" w14:textId="6683F41F" w:rsidR="00634472" w:rsidRPr="00460493" w:rsidRDefault="00634472" w:rsidP="00460493">
          <w:pPr>
            <w:spacing w:after="480"/>
            <w:rPr>
              <w:rFonts w:ascii="Helvetica Neue" w:hAnsi="Helvetica Neue"/>
              <w:i/>
              <w:iCs/>
            </w:rPr>
          </w:pPr>
          <w:r w:rsidRPr="00634472">
            <w:rPr>
              <w:rFonts w:ascii="Helvetica Neue" w:hAnsi="Helvetica Neue"/>
              <w:i/>
              <w:iCs/>
            </w:rPr>
            <w:t xml:space="preserve">Email: </w:t>
          </w:r>
          <w:hyperlink r:id="rId14" w:history="1">
            <w:r w:rsidRPr="00DE1E99">
              <w:rPr>
                <w:rStyle w:val="Hyperlink"/>
                <w:rFonts w:ascii="Helvetica Neue" w:hAnsi="Helvetica Neue"/>
                <w:i/>
                <w:iCs/>
              </w:rPr>
              <w:t>apadon@phi.org</w:t>
            </w:r>
          </w:hyperlink>
        </w:p>
        <w:p w14:paraId="3F011DB7" w14:textId="276EEBEE" w:rsidR="00634472" w:rsidRPr="00460493" w:rsidRDefault="00634472" w:rsidP="00634472">
          <w:pPr>
            <w:rPr>
              <w:rFonts w:ascii="Helvetica Neue" w:hAnsi="Helvetica Neue"/>
              <w:b/>
              <w:bCs/>
              <w:color w:val="215868" w:themeColor="accent5" w:themeShade="80"/>
              <w:sz w:val="28"/>
              <w:szCs w:val="28"/>
            </w:rPr>
          </w:pPr>
          <w:r w:rsidRPr="00460493">
            <w:rPr>
              <w:rFonts w:ascii="Helvetica Neue" w:hAnsi="Helvetica Neue"/>
              <w:b/>
              <w:bCs/>
              <w:color w:val="215868" w:themeColor="accent5" w:themeShade="80"/>
              <w:sz w:val="28"/>
              <w:szCs w:val="28"/>
            </w:rPr>
            <w:t>Acknowledgement</w:t>
          </w:r>
          <w:r w:rsidR="000E7999">
            <w:rPr>
              <w:rFonts w:ascii="Helvetica Neue" w:hAnsi="Helvetica Neue"/>
              <w:b/>
              <w:bCs/>
              <w:color w:val="215868" w:themeColor="accent5" w:themeShade="80"/>
              <w:sz w:val="28"/>
              <w:szCs w:val="28"/>
            </w:rPr>
            <w:t>s</w:t>
          </w:r>
        </w:p>
        <w:p w14:paraId="2DF55A0B" w14:textId="6F39481D" w:rsidR="000E7999" w:rsidRDefault="000E7999" w:rsidP="000E7999">
          <w:pPr>
            <w:spacing w:after="360"/>
            <w:rPr>
              <w:rFonts w:ascii="Helvetica Neue" w:hAnsi="Helvetica Neue"/>
            </w:rPr>
          </w:pPr>
          <w:r>
            <w:rPr>
              <w:rFonts w:ascii="Helvetica Neue" w:hAnsi="Helvetica Neue"/>
            </w:rPr>
            <w:t xml:space="preserve">We gratefully acknowledge the extensive contributions of </w:t>
          </w:r>
          <w:r w:rsidRPr="000E7999">
            <w:rPr>
              <w:rFonts w:ascii="Helvetica Neue" w:hAnsi="Helvetica Neue"/>
            </w:rPr>
            <w:t xml:space="preserve">Ted </w:t>
          </w:r>
          <w:proofErr w:type="spellStart"/>
          <w:r w:rsidRPr="000E7999">
            <w:rPr>
              <w:rFonts w:ascii="Helvetica Neue" w:hAnsi="Helvetica Neue"/>
            </w:rPr>
            <w:t>Mermin</w:t>
          </w:r>
          <w:proofErr w:type="spellEnd"/>
          <w:r w:rsidRPr="000E7999">
            <w:rPr>
              <w:rFonts w:ascii="Helvetica Neue" w:hAnsi="Helvetica Neue"/>
            </w:rPr>
            <w:t xml:space="preserve">, JD, Leslie Zellers JD, Michael </w:t>
          </w:r>
          <w:proofErr w:type="spellStart"/>
          <w:r w:rsidRPr="000E7999">
            <w:rPr>
              <w:rFonts w:ascii="Helvetica Neue" w:hAnsi="Helvetica Neue"/>
            </w:rPr>
            <w:t>Colantuono</w:t>
          </w:r>
          <w:proofErr w:type="spellEnd"/>
          <w:r w:rsidRPr="000E7999">
            <w:rPr>
              <w:rFonts w:ascii="Helvetica Neue" w:hAnsi="Helvetica Neue"/>
            </w:rPr>
            <w:t>, JD</w:t>
          </w:r>
          <w:r>
            <w:rPr>
              <w:rFonts w:ascii="Helvetica Neue" w:hAnsi="Helvetica Neue"/>
            </w:rPr>
            <w:t xml:space="preserve"> and others. </w:t>
          </w:r>
          <w:r w:rsidR="00634472" w:rsidRPr="000E7999">
            <w:rPr>
              <w:rFonts w:ascii="Helvetica Neue" w:hAnsi="Helvetica Neue"/>
            </w:rPr>
            <w:t xml:space="preserve">This Model Ordinance was adapted in part from </w:t>
          </w:r>
          <w:proofErr w:type="spellStart"/>
          <w:r w:rsidR="00634472" w:rsidRPr="000E7999">
            <w:rPr>
              <w:rFonts w:ascii="Helvetica Neue" w:hAnsi="Helvetica Neue"/>
            </w:rPr>
            <w:t>ChangeLab</w:t>
          </w:r>
          <w:proofErr w:type="spellEnd"/>
          <w:r w:rsidR="00634472" w:rsidRPr="000E7999">
            <w:rPr>
              <w:rFonts w:ascii="Helvetica Neue" w:hAnsi="Helvetica Neue"/>
            </w:rPr>
            <w:t xml:space="preserve"> Solutions and the California Department of Public Health’s Model Tobacco Retail License Ordinance and “plug-ins,” which have been adopted by cities and counties across the State of California. We acknowledge and appreciate their important contributions, although they are not responsible for the content. We also thank the many individuals who contributed time and comments during the development process.</w:t>
          </w:r>
        </w:p>
        <w:p w14:paraId="5E4AE6C6" w14:textId="3E67C4CA" w:rsidR="00634472" w:rsidRPr="000E7999" w:rsidRDefault="00634472" w:rsidP="00864E02">
          <w:pPr>
            <w:spacing w:after="200"/>
            <w:rPr>
              <w:rFonts w:ascii="Helvetica Neue" w:hAnsi="Helvetica Neue"/>
            </w:rPr>
          </w:pPr>
          <w:r w:rsidRPr="00460493">
            <w:rPr>
              <w:rFonts w:ascii="Helvetica Neue" w:hAnsi="Helvetica Neue"/>
              <w:b/>
              <w:bCs/>
              <w:color w:val="215868" w:themeColor="accent5" w:themeShade="80"/>
              <w:sz w:val="28"/>
              <w:szCs w:val="28"/>
            </w:rPr>
            <w:t>Note</w:t>
          </w:r>
        </w:p>
        <w:p w14:paraId="28D66F02" w14:textId="7A841ACF" w:rsidR="00735C55" w:rsidRDefault="00634472" w:rsidP="00634472">
          <w:pPr>
            <w:rPr>
              <w:rFonts w:ascii="Helvetica Neue" w:hAnsi="Helvetica Neue"/>
            </w:rPr>
          </w:pPr>
          <w:r w:rsidRPr="00634472">
            <w:rPr>
              <w:rFonts w:ascii="Helvetica Neue" w:hAnsi="Helvetica Neue"/>
            </w:rPr>
            <w:t xml:space="preserve">The legal information provided in this model ordinance does not constitute legal advice or legal representation. For legal advice, readers should consult an attorney in their state. </w:t>
          </w:r>
          <w:r w:rsidR="00735C55">
            <w:rPr>
              <w:rFonts w:ascii="Helvetica Neue" w:hAnsi="Helvetica Neue"/>
            </w:rPr>
            <w:br w:type="page"/>
          </w:r>
        </w:p>
      </w:sdtContent>
    </w:sdt>
    <w:sdt>
      <w:sdtPr>
        <w:rPr>
          <w:rFonts w:ascii="Helvetica Neue" w:eastAsiaTheme="minorEastAsia" w:hAnsi="Helvetica Neue" w:cstheme="minorBidi"/>
          <w:color w:val="auto"/>
          <w:sz w:val="22"/>
          <w:szCs w:val="22"/>
          <w:lang w:eastAsia="ko-KR"/>
        </w:rPr>
        <w:id w:val="-1410223739"/>
        <w:docPartObj>
          <w:docPartGallery w:val="Table of Contents"/>
          <w:docPartUnique/>
        </w:docPartObj>
      </w:sdtPr>
      <w:sdtEndPr>
        <w:rPr>
          <w:rFonts w:eastAsia="Times New Roman" w:cs="Times New Roman"/>
          <w:b/>
          <w:bCs/>
          <w:noProof/>
          <w:sz w:val="24"/>
          <w:szCs w:val="24"/>
          <w:lang w:eastAsia="en-US"/>
        </w:rPr>
      </w:sdtEndPr>
      <w:sdtContent>
        <w:p w14:paraId="7199D82E" w14:textId="77777777" w:rsidR="00735C55" w:rsidRPr="001115C5" w:rsidRDefault="00735C55" w:rsidP="00735C55">
          <w:pPr>
            <w:pStyle w:val="TOCHeading"/>
            <w:rPr>
              <w:rFonts w:ascii="Helvetica Neue" w:hAnsi="Helvetica Neue"/>
            </w:rPr>
          </w:pPr>
          <w:r w:rsidRPr="001115C5">
            <w:rPr>
              <w:rFonts w:ascii="Helvetica Neue" w:hAnsi="Helvetica Neue"/>
            </w:rPr>
            <w:t>Table of Contents</w:t>
          </w:r>
        </w:p>
        <w:p w14:paraId="164278F1" w14:textId="71B186A5" w:rsidR="00687672" w:rsidRDefault="00735C55">
          <w:pPr>
            <w:pStyle w:val="TOC1"/>
            <w:rPr>
              <w:b w:val="0"/>
              <w:bCs w:val="0"/>
              <w:sz w:val="24"/>
              <w:szCs w:val="24"/>
              <w:lang w:eastAsia="en-US"/>
            </w:rPr>
          </w:pPr>
          <w:r w:rsidRPr="001115C5">
            <w:rPr>
              <w:rFonts w:ascii="Helvetica Neue" w:hAnsi="Helvetica Neue"/>
            </w:rPr>
            <w:fldChar w:fldCharType="begin"/>
          </w:r>
          <w:r w:rsidRPr="001115C5">
            <w:rPr>
              <w:rFonts w:ascii="Helvetica Neue" w:hAnsi="Helvetica Neue"/>
            </w:rPr>
            <w:instrText xml:space="preserve"> TOC \o "1-3" \h \z \u </w:instrText>
          </w:r>
          <w:r w:rsidRPr="001115C5">
            <w:rPr>
              <w:rFonts w:ascii="Helvetica Neue" w:hAnsi="Helvetica Neue"/>
            </w:rPr>
            <w:fldChar w:fldCharType="separate"/>
          </w:r>
          <w:hyperlink w:anchor="_Toc65578288" w:history="1">
            <w:r w:rsidR="00687672" w:rsidRPr="00623A32">
              <w:rPr>
                <w:rStyle w:val="Hyperlink"/>
                <w:rFonts w:ascii="Helvetica Neue" w:hAnsi="Helvetica Neue"/>
              </w:rPr>
              <w:t>Introduction</w:t>
            </w:r>
            <w:r w:rsidR="00687672">
              <w:rPr>
                <w:webHidden/>
              </w:rPr>
              <w:tab/>
            </w:r>
            <w:r w:rsidR="00687672">
              <w:rPr>
                <w:webHidden/>
              </w:rPr>
              <w:fldChar w:fldCharType="begin"/>
            </w:r>
            <w:r w:rsidR="00687672">
              <w:rPr>
                <w:webHidden/>
              </w:rPr>
              <w:instrText xml:space="preserve"> PAGEREF _Toc65578288 \h </w:instrText>
            </w:r>
            <w:r w:rsidR="00687672">
              <w:rPr>
                <w:webHidden/>
              </w:rPr>
            </w:r>
            <w:r w:rsidR="00687672">
              <w:rPr>
                <w:webHidden/>
              </w:rPr>
              <w:fldChar w:fldCharType="separate"/>
            </w:r>
            <w:r w:rsidR="00897162">
              <w:rPr>
                <w:webHidden/>
              </w:rPr>
              <w:t>3</w:t>
            </w:r>
            <w:r w:rsidR="00687672">
              <w:rPr>
                <w:webHidden/>
              </w:rPr>
              <w:fldChar w:fldCharType="end"/>
            </w:r>
          </w:hyperlink>
        </w:p>
        <w:p w14:paraId="0F266642" w14:textId="3BC7F426" w:rsidR="00687672" w:rsidRDefault="004D728C">
          <w:pPr>
            <w:pStyle w:val="TOC2"/>
            <w:rPr>
              <w:sz w:val="24"/>
              <w:szCs w:val="24"/>
              <w:lang w:eastAsia="en-US"/>
            </w:rPr>
          </w:pPr>
          <w:hyperlink w:anchor="_Toc65578289" w:history="1">
            <w:r w:rsidR="00687672" w:rsidRPr="00623A32">
              <w:rPr>
                <w:rStyle w:val="Hyperlink"/>
                <w:rFonts w:ascii="Helvetica Neue" w:hAnsi="Helvetica Neue"/>
              </w:rPr>
              <w:t>California Best Practices Map</w:t>
            </w:r>
            <w:r w:rsidR="00687672">
              <w:rPr>
                <w:webHidden/>
              </w:rPr>
              <w:tab/>
            </w:r>
            <w:r w:rsidR="00687672">
              <w:rPr>
                <w:webHidden/>
              </w:rPr>
              <w:fldChar w:fldCharType="begin"/>
            </w:r>
            <w:r w:rsidR="00687672">
              <w:rPr>
                <w:webHidden/>
              </w:rPr>
              <w:instrText xml:space="preserve"> PAGEREF _Toc65578289 \h </w:instrText>
            </w:r>
            <w:r w:rsidR="00687672">
              <w:rPr>
                <w:webHidden/>
              </w:rPr>
            </w:r>
            <w:r w:rsidR="00687672">
              <w:rPr>
                <w:webHidden/>
              </w:rPr>
              <w:fldChar w:fldCharType="separate"/>
            </w:r>
            <w:r w:rsidR="00897162">
              <w:rPr>
                <w:webHidden/>
              </w:rPr>
              <w:t>7</w:t>
            </w:r>
            <w:r w:rsidR="00687672">
              <w:rPr>
                <w:webHidden/>
              </w:rPr>
              <w:fldChar w:fldCharType="end"/>
            </w:r>
          </w:hyperlink>
        </w:p>
        <w:p w14:paraId="4F2DA800" w14:textId="6EA8C8D2" w:rsidR="00687672" w:rsidRDefault="004D728C">
          <w:pPr>
            <w:pStyle w:val="TOC1"/>
            <w:rPr>
              <w:b w:val="0"/>
              <w:bCs w:val="0"/>
              <w:sz w:val="24"/>
              <w:szCs w:val="24"/>
              <w:lang w:eastAsia="en-US"/>
            </w:rPr>
          </w:pPr>
          <w:hyperlink w:anchor="_Toc65578290" w:history="1">
            <w:r w:rsidR="00687672" w:rsidRPr="00623A32">
              <w:rPr>
                <w:rStyle w:val="Hyperlink"/>
                <w:rFonts w:ascii="Helvetica Neue" w:hAnsi="Helvetica Neue"/>
              </w:rPr>
              <w:t>Model Ordinance</w:t>
            </w:r>
            <w:r w:rsidR="00687672">
              <w:rPr>
                <w:webHidden/>
              </w:rPr>
              <w:tab/>
            </w:r>
            <w:r w:rsidR="00687672">
              <w:rPr>
                <w:webHidden/>
              </w:rPr>
              <w:fldChar w:fldCharType="begin"/>
            </w:r>
            <w:r w:rsidR="00687672">
              <w:rPr>
                <w:webHidden/>
              </w:rPr>
              <w:instrText xml:space="preserve"> PAGEREF _Toc65578290 \h </w:instrText>
            </w:r>
            <w:r w:rsidR="00687672">
              <w:rPr>
                <w:webHidden/>
              </w:rPr>
            </w:r>
            <w:r w:rsidR="00687672">
              <w:rPr>
                <w:webHidden/>
              </w:rPr>
              <w:fldChar w:fldCharType="separate"/>
            </w:r>
            <w:r w:rsidR="00897162">
              <w:rPr>
                <w:webHidden/>
              </w:rPr>
              <w:t>8</w:t>
            </w:r>
            <w:r w:rsidR="00687672">
              <w:rPr>
                <w:webHidden/>
              </w:rPr>
              <w:fldChar w:fldCharType="end"/>
            </w:r>
          </w:hyperlink>
        </w:p>
        <w:p w14:paraId="2592E06B" w14:textId="350CBDE9" w:rsidR="00687672" w:rsidRDefault="004D728C">
          <w:pPr>
            <w:pStyle w:val="TOC2"/>
            <w:rPr>
              <w:sz w:val="24"/>
              <w:szCs w:val="24"/>
              <w:lang w:eastAsia="en-US"/>
            </w:rPr>
          </w:pPr>
          <w:hyperlink w:anchor="_Toc65578291" w:history="1">
            <w:r w:rsidR="00687672" w:rsidRPr="00623A32">
              <w:rPr>
                <w:rStyle w:val="Hyperlink"/>
                <w:rFonts w:ascii="Helvetica Neue" w:hAnsi="Helvetica Neue"/>
              </w:rPr>
              <w:t>SECTION I. FINDINGS</w:t>
            </w:r>
            <w:r w:rsidR="00687672">
              <w:rPr>
                <w:webHidden/>
              </w:rPr>
              <w:tab/>
            </w:r>
            <w:r w:rsidR="00687672">
              <w:rPr>
                <w:webHidden/>
              </w:rPr>
              <w:fldChar w:fldCharType="begin"/>
            </w:r>
            <w:r w:rsidR="00687672">
              <w:rPr>
                <w:webHidden/>
              </w:rPr>
              <w:instrText xml:space="preserve"> PAGEREF _Toc65578291 \h </w:instrText>
            </w:r>
            <w:r w:rsidR="00687672">
              <w:rPr>
                <w:webHidden/>
              </w:rPr>
            </w:r>
            <w:r w:rsidR="00687672">
              <w:rPr>
                <w:webHidden/>
              </w:rPr>
              <w:fldChar w:fldCharType="separate"/>
            </w:r>
            <w:r w:rsidR="00897162">
              <w:rPr>
                <w:webHidden/>
              </w:rPr>
              <w:t>8</w:t>
            </w:r>
            <w:r w:rsidR="00687672">
              <w:rPr>
                <w:webHidden/>
              </w:rPr>
              <w:fldChar w:fldCharType="end"/>
            </w:r>
          </w:hyperlink>
        </w:p>
        <w:p w14:paraId="0EB8293D" w14:textId="5E443B73" w:rsidR="00687672" w:rsidRDefault="004D728C">
          <w:pPr>
            <w:pStyle w:val="TOC2"/>
            <w:rPr>
              <w:sz w:val="24"/>
              <w:szCs w:val="24"/>
              <w:lang w:eastAsia="en-US"/>
            </w:rPr>
          </w:pPr>
          <w:hyperlink w:anchor="_Toc65578292" w:history="1">
            <w:r w:rsidR="00687672" w:rsidRPr="00623A32">
              <w:rPr>
                <w:rStyle w:val="Hyperlink"/>
                <w:rFonts w:ascii="Helvetica Neue" w:hAnsi="Helvetica Neue"/>
              </w:rPr>
              <w:t>SECTION II. RETAIL OPERATIONS</w:t>
            </w:r>
            <w:r w:rsidR="00687672">
              <w:rPr>
                <w:webHidden/>
              </w:rPr>
              <w:tab/>
            </w:r>
            <w:r w:rsidR="00687672">
              <w:rPr>
                <w:webHidden/>
              </w:rPr>
              <w:fldChar w:fldCharType="begin"/>
            </w:r>
            <w:r w:rsidR="00687672">
              <w:rPr>
                <w:webHidden/>
              </w:rPr>
              <w:instrText xml:space="preserve"> PAGEREF _Toc65578292 \h </w:instrText>
            </w:r>
            <w:r w:rsidR="00687672">
              <w:rPr>
                <w:webHidden/>
              </w:rPr>
            </w:r>
            <w:r w:rsidR="00687672">
              <w:rPr>
                <w:webHidden/>
              </w:rPr>
              <w:fldChar w:fldCharType="separate"/>
            </w:r>
            <w:r w:rsidR="00897162">
              <w:rPr>
                <w:webHidden/>
              </w:rPr>
              <w:t>17</w:t>
            </w:r>
            <w:r w:rsidR="00687672">
              <w:rPr>
                <w:webHidden/>
              </w:rPr>
              <w:fldChar w:fldCharType="end"/>
            </w:r>
          </w:hyperlink>
        </w:p>
        <w:p w14:paraId="4A12BDC2" w14:textId="4D29DB10" w:rsidR="00687672" w:rsidRDefault="004D728C">
          <w:pPr>
            <w:pStyle w:val="TOC3"/>
            <w:rPr>
              <w:noProof/>
              <w:sz w:val="24"/>
              <w:szCs w:val="24"/>
              <w:lang w:eastAsia="en-US"/>
            </w:rPr>
          </w:pPr>
          <w:hyperlink w:anchor="_Toc65578293" w:history="1">
            <w:r w:rsidR="00687672" w:rsidRPr="00623A32">
              <w:rPr>
                <w:rStyle w:val="Hyperlink"/>
                <w:rFonts w:ascii="Helvetica Neue" w:hAnsi="Helvetica Neue"/>
                <w:noProof/>
              </w:rPr>
              <w:t>Section A. DEFINITIONS</w:t>
            </w:r>
            <w:r w:rsidR="00687672">
              <w:rPr>
                <w:noProof/>
                <w:webHidden/>
              </w:rPr>
              <w:tab/>
            </w:r>
            <w:r w:rsidR="00687672">
              <w:rPr>
                <w:noProof/>
                <w:webHidden/>
              </w:rPr>
              <w:fldChar w:fldCharType="begin"/>
            </w:r>
            <w:r w:rsidR="00687672">
              <w:rPr>
                <w:noProof/>
                <w:webHidden/>
              </w:rPr>
              <w:instrText xml:space="preserve"> PAGEREF _Toc65578293 \h </w:instrText>
            </w:r>
            <w:r w:rsidR="00687672">
              <w:rPr>
                <w:noProof/>
                <w:webHidden/>
              </w:rPr>
            </w:r>
            <w:r w:rsidR="00687672">
              <w:rPr>
                <w:noProof/>
                <w:webHidden/>
              </w:rPr>
              <w:fldChar w:fldCharType="separate"/>
            </w:r>
            <w:r w:rsidR="00897162">
              <w:rPr>
                <w:noProof/>
                <w:webHidden/>
              </w:rPr>
              <w:t>17</w:t>
            </w:r>
            <w:r w:rsidR="00687672">
              <w:rPr>
                <w:noProof/>
                <w:webHidden/>
              </w:rPr>
              <w:fldChar w:fldCharType="end"/>
            </w:r>
          </w:hyperlink>
        </w:p>
        <w:p w14:paraId="4C06A8F2" w14:textId="50FCC404" w:rsidR="00687672" w:rsidRDefault="004D728C">
          <w:pPr>
            <w:pStyle w:val="TOC3"/>
            <w:rPr>
              <w:noProof/>
              <w:sz w:val="24"/>
              <w:szCs w:val="24"/>
              <w:lang w:eastAsia="en-US"/>
            </w:rPr>
          </w:pPr>
          <w:hyperlink w:anchor="_Toc65578294" w:history="1">
            <w:r w:rsidR="00687672" w:rsidRPr="00623A32">
              <w:rPr>
                <w:rStyle w:val="Hyperlink"/>
                <w:rFonts w:ascii="Helvetica Neue" w:hAnsi="Helvetica Neue"/>
                <w:noProof/>
              </w:rPr>
              <w:t>Section B. PERMITTING STANDARDS</w:t>
            </w:r>
            <w:r w:rsidR="00687672">
              <w:rPr>
                <w:noProof/>
                <w:webHidden/>
              </w:rPr>
              <w:tab/>
            </w:r>
            <w:r w:rsidR="00687672">
              <w:rPr>
                <w:noProof/>
                <w:webHidden/>
              </w:rPr>
              <w:fldChar w:fldCharType="begin"/>
            </w:r>
            <w:r w:rsidR="00687672">
              <w:rPr>
                <w:noProof/>
                <w:webHidden/>
              </w:rPr>
              <w:instrText xml:space="preserve"> PAGEREF _Toc65578294 \h </w:instrText>
            </w:r>
            <w:r w:rsidR="00687672">
              <w:rPr>
                <w:noProof/>
                <w:webHidden/>
              </w:rPr>
            </w:r>
            <w:r w:rsidR="00687672">
              <w:rPr>
                <w:noProof/>
                <w:webHidden/>
              </w:rPr>
              <w:fldChar w:fldCharType="separate"/>
            </w:r>
            <w:r w:rsidR="00897162">
              <w:rPr>
                <w:noProof/>
                <w:webHidden/>
              </w:rPr>
              <w:t>25</w:t>
            </w:r>
            <w:r w:rsidR="00687672">
              <w:rPr>
                <w:noProof/>
                <w:webHidden/>
              </w:rPr>
              <w:fldChar w:fldCharType="end"/>
            </w:r>
          </w:hyperlink>
        </w:p>
        <w:p w14:paraId="368C3437" w14:textId="587AB7CB" w:rsidR="00687672" w:rsidRDefault="004D728C">
          <w:pPr>
            <w:pStyle w:val="TOC3"/>
            <w:rPr>
              <w:noProof/>
              <w:sz w:val="24"/>
              <w:szCs w:val="24"/>
              <w:lang w:eastAsia="en-US"/>
            </w:rPr>
          </w:pPr>
          <w:hyperlink w:anchor="_Toc65578295" w:history="1">
            <w:r w:rsidR="00687672" w:rsidRPr="00623A32">
              <w:rPr>
                <w:rStyle w:val="Hyperlink"/>
                <w:rFonts w:ascii="Helvetica Neue" w:hAnsi="Helvetica Neue"/>
                <w:noProof/>
              </w:rPr>
              <w:t>Section C. SELECTION OF PERMITTEES</w:t>
            </w:r>
            <w:r w:rsidR="00687672">
              <w:rPr>
                <w:noProof/>
                <w:webHidden/>
              </w:rPr>
              <w:tab/>
            </w:r>
            <w:r w:rsidR="00687672">
              <w:rPr>
                <w:noProof/>
                <w:webHidden/>
              </w:rPr>
              <w:fldChar w:fldCharType="begin"/>
            </w:r>
            <w:r w:rsidR="00687672">
              <w:rPr>
                <w:noProof/>
                <w:webHidden/>
              </w:rPr>
              <w:instrText xml:space="preserve"> PAGEREF _Toc65578295 \h </w:instrText>
            </w:r>
            <w:r w:rsidR="00687672">
              <w:rPr>
                <w:noProof/>
                <w:webHidden/>
              </w:rPr>
            </w:r>
            <w:r w:rsidR="00687672">
              <w:rPr>
                <w:noProof/>
                <w:webHidden/>
              </w:rPr>
              <w:fldChar w:fldCharType="separate"/>
            </w:r>
            <w:r w:rsidR="00897162">
              <w:rPr>
                <w:noProof/>
                <w:webHidden/>
              </w:rPr>
              <w:t>27</w:t>
            </w:r>
            <w:r w:rsidR="00687672">
              <w:rPr>
                <w:noProof/>
                <w:webHidden/>
              </w:rPr>
              <w:fldChar w:fldCharType="end"/>
            </w:r>
          </w:hyperlink>
        </w:p>
        <w:p w14:paraId="3BBBF5D3" w14:textId="64949DD4" w:rsidR="00687672" w:rsidRDefault="004D728C">
          <w:pPr>
            <w:pStyle w:val="TOC3"/>
            <w:rPr>
              <w:noProof/>
              <w:sz w:val="24"/>
              <w:szCs w:val="24"/>
              <w:lang w:eastAsia="en-US"/>
            </w:rPr>
          </w:pPr>
          <w:hyperlink w:anchor="_Toc65578296" w:history="1">
            <w:r w:rsidR="00687672" w:rsidRPr="00623A32">
              <w:rPr>
                <w:rStyle w:val="Hyperlink"/>
                <w:rFonts w:ascii="Helvetica Neue" w:hAnsi="Helvetica Neue"/>
                <w:noProof/>
              </w:rPr>
              <w:t>Section D. APPLICATION PROCEDURE</w:t>
            </w:r>
            <w:r w:rsidR="00687672">
              <w:rPr>
                <w:noProof/>
                <w:webHidden/>
              </w:rPr>
              <w:tab/>
            </w:r>
            <w:r w:rsidR="00687672">
              <w:rPr>
                <w:noProof/>
                <w:webHidden/>
              </w:rPr>
              <w:fldChar w:fldCharType="begin"/>
            </w:r>
            <w:r w:rsidR="00687672">
              <w:rPr>
                <w:noProof/>
                <w:webHidden/>
              </w:rPr>
              <w:instrText xml:space="preserve"> PAGEREF _Toc65578296 \h </w:instrText>
            </w:r>
            <w:r w:rsidR="00687672">
              <w:rPr>
                <w:noProof/>
                <w:webHidden/>
              </w:rPr>
            </w:r>
            <w:r w:rsidR="00687672">
              <w:rPr>
                <w:noProof/>
                <w:webHidden/>
              </w:rPr>
              <w:fldChar w:fldCharType="separate"/>
            </w:r>
            <w:r w:rsidR="00897162">
              <w:rPr>
                <w:noProof/>
                <w:webHidden/>
              </w:rPr>
              <w:t>29</w:t>
            </w:r>
            <w:r w:rsidR="00687672">
              <w:rPr>
                <w:noProof/>
                <w:webHidden/>
              </w:rPr>
              <w:fldChar w:fldCharType="end"/>
            </w:r>
          </w:hyperlink>
        </w:p>
        <w:p w14:paraId="34D2834F" w14:textId="28C1250C" w:rsidR="00687672" w:rsidRDefault="004D728C">
          <w:pPr>
            <w:pStyle w:val="TOC3"/>
            <w:rPr>
              <w:noProof/>
              <w:sz w:val="24"/>
              <w:szCs w:val="24"/>
              <w:lang w:eastAsia="en-US"/>
            </w:rPr>
          </w:pPr>
          <w:hyperlink w:anchor="_Toc65578297" w:history="1">
            <w:r w:rsidR="00687672" w:rsidRPr="00623A32">
              <w:rPr>
                <w:rStyle w:val="Hyperlink"/>
                <w:rFonts w:ascii="Helvetica Neue" w:hAnsi="Helvetica Neue"/>
                <w:noProof/>
              </w:rPr>
              <w:t>Section E. STANDARDS OF OPERATING</w:t>
            </w:r>
            <w:r w:rsidR="00687672">
              <w:rPr>
                <w:noProof/>
                <w:webHidden/>
              </w:rPr>
              <w:tab/>
            </w:r>
            <w:r w:rsidR="00687672">
              <w:rPr>
                <w:noProof/>
                <w:webHidden/>
              </w:rPr>
              <w:fldChar w:fldCharType="begin"/>
            </w:r>
            <w:r w:rsidR="00687672">
              <w:rPr>
                <w:noProof/>
                <w:webHidden/>
              </w:rPr>
              <w:instrText xml:space="preserve"> PAGEREF _Toc65578297 \h </w:instrText>
            </w:r>
            <w:r w:rsidR="00687672">
              <w:rPr>
                <w:noProof/>
                <w:webHidden/>
              </w:rPr>
            </w:r>
            <w:r w:rsidR="00687672">
              <w:rPr>
                <w:noProof/>
                <w:webHidden/>
              </w:rPr>
              <w:fldChar w:fldCharType="separate"/>
            </w:r>
            <w:r w:rsidR="00897162">
              <w:rPr>
                <w:noProof/>
                <w:webHidden/>
              </w:rPr>
              <w:t>32</w:t>
            </w:r>
            <w:r w:rsidR="00687672">
              <w:rPr>
                <w:noProof/>
                <w:webHidden/>
              </w:rPr>
              <w:fldChar w:fldCharType="end"/>
            </w:r>
          </w:hyperlink>
        </w:p>
        <w:p w14:paraId="0B043782" w14:textId="11DC86DB" w:rsidR="00687672" w:rsidRDefault="004D728C">
          <w:pPr>
            <w:pStyle w:val="TOC3"/>
            <w:rPr>
              <w:noProof/>
              <w:sz w:val="24"/>
              <w:szCs w:val="24"/>
              <w:lang w:eastAsia="en-US"/>
            </w:rPr>
          </w:pPr>
          <w:hyperlink w:anchor="_Toc65578298" w:history="1">
            <w:r w:rsidR="00687672" w:rsidRPr="00623A32">
              <w:rPr>
                <w:rStyle w:val="Hyperlink"/>
                <w:rFonts w:ascii="Helvetica Neue" w:hAnsi="Helvetica Neue"/>
                <w:noProof/>
              </w:rPr>
              <w:t>Section F. RESTRICTIONS ON ELIGIBILITY FOR A CANNABIS RETAILER CONDITIONAL USE PERMIT.</w:t>
            </w:r>
            <w:r w:rsidR="00687672">
              <w:rPr>
                <w:noProof/>
                <w:webHidden/>
              </w:rPr>
              <w:tab/>
            </w:r>
            <w:r w:rsidR="00687672">
              <w:rPr>
                <w:noProof/>
                <w:webHidden/>
              </w:rPr>
              <w:fldChar w:fldCharType="begin"/>
            </w:r>
            <w:r w:rsidR="00687672">
              <w:rPr>
                <w:noProof/>
                <w:webHidden/>
              </w:rPr>
              <w:instrText xml:space="preserve"> PAGEREF _Toc65578298 \h </w:instrText>
            </w:r>
            <w:r w:rsidR="00687672">
              <w:rPr>
                <w:noProof/>
                <w:webHidden/>
              </w:rPr>
            </w:r>
            <w:r w:rsidR="00687672">
              <w:rPr>
                <w:noProof/>
                <w:webHidden/>
              </w:rPr>
              <w:fldChar w:fldCharType="separate"/>
            </w:r>
            <w:r w:rsidR="00897162">
              <w:rPr>
                <w:noProof/>
                <w:webHidden/>
              </w:rPr>
              <w:t>38</w:t>
            </w:r>
            <w:r w:rsidR="00687672">
              <w:rPr>
                <w:noProof/>
                <w:webHidden/>
              </w:rPr>
              <w:fldChar w:fldCharType="end"/>
            </w:r>
          </w:hyperlink>
        </w:p>
        <w:p w14:paraId="3BD2267B" w14:textId="092E7A97" w:rsidR="00687672" w:rsidRDefault="004D728C">
          <w:pPr>
            <w:pStyle w:val="TOC3"/>
            <w:rPr>
              <w:noProof/>
              <w:sz w:val="24"/>
              <w:szCs w:val="24"/>
              <w:lang w:eastAsia="en-US"/>
            </w:rPr>
          </w:pPr>
          <w:hyperlink w:anchor="_Toc65578299" w:history="1">
            <w:r w:rsidR="00687672" w:rsidRPr="00623A32">
              <w:rPr>
                <w:rStyle w:val="Hyperlink"/>
                <w:rFonts w:ascii="Helvetica Neue" w:hAnsi="Helvetica Neue"/>
                <w:noProof/>
              </w:rPr>
              <w:t>Section G. PROHIBITED PRODUCT TYPES</w:t>
            </w:r>
            <w:r w:rsidR="00687672">
              <w:rPr>
                <w:noProof/>
                <w:webHidden/>
              </w:rPr>
              <w:tab/>
            </w:r>
            <w:r w:rsidR="00687672">
              <w:rPr>
                <w:noProof/>
                <w:webHidden/>
              </w:rPr>
              <w:fldChar w:fldCharType="begin"/>
            </w:r>
            <w:r w:rsidR="00687672">
              <w:rPr>
                <w:noProof/>
                <w:webHidden/>
              </w:rPr>
              <w:instrText xml:space="preserve"> PAGEREF _Toc65578299 \h </w:instrText>
            </w:r>
            <w:r w:rsidR="00687672">
              <w:rPr>
                <w:noProof/>
                <w:webHidden/>
              </w:rPr>
            </w:r>
            <w:r w:rsidR="00687672">
              <w:rPr>
                <w:noProof/>
                <w:webHidden/>
              </w:rPr>
              <w:fldChar w:fldCharType="separate"/>
            </w:r>
            <w:r w:rsidR="00897162">
              <w:rPr>
                <w:noProof/>
                <w:webHidden/>
              </w:rPr>
              <w:t>41</w:t>
            </w:r>
            <w:r w:rsidR="00687672">
              <w:rPr>
                <w:noProof/>
                <w:webHidden/>
              </w:rPr>
              <w:fldChar w:fldCharType="end"/>
            </w:r>
          </w:hyperlink>
        </w:p>
        <w:p w14:paraId="081B15A1" w14:textId="416E12C7" w:rsidR="00687672" w:rsidRDefault="004D728C">
          <w:pPr>
            <w:pStyle w:val="TOC3"/>
            <w:rPr>
              <w:noProof/>
              <w:sz w:val="24"/>
              <w:szCs w:val="24"/>
              <w:lang w:eastAsia="en-US"/>
            </w:rPr>
          </w:pPr>
          <w:hyperlink w:anchor="_Toc65578300" w:history="1">
            <w:r w:rsidR="00687672" w:rsidRPr="00623A32">
              <w:rPr>
                <w:rStyle w:val="Hyperlink"/>
                <w:rFonts w:ascii="Helvetica Neue" w:hAnsi="Helvetica Neue"/>
                <w:noProof/>
              </w:rPr>
              <w:t>Section H. PRICING AND DISCOUNTING.</w:t>
            </w:r>
            <w:r w:rsidR="00687672">
              <w:rPr>
                <w:noProof/>
                <w:webHidden/>
              </w:rPr>
              <w:tab/>
            </w:r>
            <w:r w:rsidR="00687672">
              <w:rPr>
                <w:noProof/>
                <w:webHidden/>
              </w:rPr>
              <w:fldChar w:fldCharType="begin"/>
            </w:r>
            <w:r w:rsidR="00687672">
              <w:rPr>
                <w:noProof/>
                <w:webHidden/>
              </w:rPr>
              <w:instrText xml:space="preserve"> PAGEREF _Toc65578300 \h </w:instrText>
            </w:r>
            <w:r w:rsidR="00687672">
              <w:rPr>
                <w:noProof/>
                <w:webHidden/>
              </w:rPr>
            </w:r>
            <w:r w:rsidR="00687672">
              <w:rPr>
                <w:noProof/>
                <w:webHidden/>
              </w:rPr>
              <w:fldChar w:fldCharType="separate"/>
            </w:r>
            <w:r w:rsidR="00897162">
              <w:rPr>
                <w:noProof/>
                <w:webHidden/>
              </w:rPr>
              <w:t>49</w:t>
            </w:r>
            <w:r w:rsidR="00687672">
              <w:rPr>
                <w:noProof/>
                <w:webHidden/>
              </w:rPr>
              <w:fldChar w:fldCharType="end"/>
            </w:r>
          </w:hyperlink>
        </w:p>
        <w:p w14:paraId="121965E8" w14:textId="0784574E" w:rsidR="00687672" w:rsidRDefault="004D728C">
          <w:pPr>
            <w:pStyle w:val="TOC3"/>
            <w:rPr>
              <w:noProof/>
              <w:sz w:val="24"/>
              <w:szCs w:val="24"/>
              <w:lang w:eastAsia="en-US"/>
            </w:rPr>
          </w:pPr>
          <w:hyperlink w:anchor="_Toc65578301" w:history="1">
            <w:r w:rsidR="00687672" w:rsidRPr="00623A32">
              <w:rPr>
                <w:rStyle w:val="Hyperlink"/>
                <w:rFonts w:ascii="Helvetica Neue" w:hAnsi="Helvetica Neue"/>
                <w:noProof/>
              </w:rPr>
              <w:t>Section I. REQUIRED IN-STORE SAFETY INFORMATION</w:t>
            </w:r>
            <w:r w:rsidR="00687672">
              <w:rPr>
                <w:noProof/>
                <w:webHidden/>
              </w:rPr>
              <w:tab/>
            </w:r>
            <w:r w:rsidR="00687672">
              <w:rPr>
                <w:noProof/>
                <w:webHidden/>
              </w:rPr>
              <w:fldChar w:fldCharType="begin"/>
            </w:r>
            <w:r w:rsidR="00687672">
              <w:rPr>
                <w:noProof/>
                <w:webHidden/>
              </w:rPr>
              <w:instrText xml:space="preserve"> PAGEREF _Toc65578301 \h </w:instrText>
            </w:r>
            <w:r w:rsidR="00687672">
              <w:rPr>
                <w:noProof/>
                <w:webHidden/>
              </w:rPr>
            </w:r>
            <w:r w:rsidR="00687672">
              <w:rPr>
                <w:noProof/>
                <w:webHidden/>
              </w:rPr>
              <w:fldChar w:fldCharType="separate"/>
            </w:r>
            <w:r w:rsidR="00897162">
              <w:rPr>
                <w:noProof/>
                <w:webHidden/>
              </w:rPr>
              <w:t>51</w:t>
            </w:r>
            <w:r w:rsidR="00687672">
              <w:rPr>
                <w:noProof/>
                <w:webHidden/>
              </w:rPr>
              <w:fldChar w:fldCharType="end"/>
            </w:r>
          </w:hyperlink>
        </w:p>
        <w:p w14:paraId="73673365" w14:textId="7C34C7F4" w:rsidR="00687672" w:rsidRDefault="004D728C">
          <w:pPr>
            <w:pStyle w:val="TOC3"/>
            <w:rPr>
              <w:noProof/>
              <w:sz w:val="24"/>
              <w:szCs w:val="24"/>
              <w:lang w:eastAsia="en-US"/>
            </w:rPr>
          </w:pPr>
          <w:hyperlink w:anchor="_Toc65578302" w:history="1">
            <w:r w:rsidR="00687672" w:rsidRPr="00623A32">
              <w:rPr>
                <w:rStyle w:val="Hyperlink"/>
                <w:rFonts w:ascii="Helvetica Neue" w:hAnsi="Helvetica Neue"/>
                <w:noProof/>
              </w:rPr>
              <w:t>Section J. PERMIT RENEWAL AND EXPIRATION</w:t>
            </w:r>
            <w:r w:rsidR="00687672">
              <w:rPr>
                <w:noProof/>
                <w:webHidden/>
              </w:rPr>
              <w:tab/>
            </w:r>
            <w:r w:rsidR="00687672">
              <w:rPr>
                <w:noProof/>
                <w:webHidden/>
              </w:rPr>
              <w:fldChar w:fldCharType="begin"/>
            </w:r>
            <w:r w:rsidR="00687672">
              <w:rPr>
                <w:noProof/>
                <w:webHidden/>
              </w:rPr>
              <w:instrText xml:space="preserve"> PAGEREF _Toc65578302 \h </w:instrText>
            </w:r>
            <w:r w:rsidR="00687672">
              <w:rPr>
                <w:noProof/>
                <w:webHidden/>
              </w:rPr>
            </w:r>
            <w:r w:rsidR="00687672">
              <w:rPr>
                <w:noProof/>
                <w:webHidden/>
              </w:rPr>
              <w:fldChar w:fldCharType="separate"/>
            </w:r>
            <w:r w:rsidR="00897162">
              <w:rPr>
                <w:noProof/>
                <w:webHidden/>
              </w:rPr>
              <w:t>54</w:t>
            </w:r>
            <w:r w:rsidR="00687672">
              <w:rPr>
                <w:noProof/>
                <w:webHidden/>
              </w:rPr>
              <w:fldChar w:fldCharType="end"/>
            </w:r>
          </w:hyperlink>
        </w:p>
        <w:p w14:paraId="592B99C8" w14:textId="1CB0FBF3" w:rsidR="00687672" w:rsidRDefault="004D728C">
          <w:pPr>
            <w:pStyle w:val="TOC3"/>
            <w:rPr>
              <w:noProof/>
              <w:sz w:val="24"/>
              <w:szCs w:val="24"/>
              <w:lang w:eastAsia="en-US"/>
            </w:rPr>
          </w:pPr>
          <w:hyperlink w:anchor="_Toc65578303" w:history="1">
            <w:r w:rsidR="00687672" w:rsidRPr="00623A32">
              <w:rPr>
                <w:rStyle w:val="Hyperlink"/>
                <w:rFonts w:ascii="Helvetica Neue" w:hAnsi="Helvetica Neue"/>
                <w:noProof/>
              </w:rPr>
              <w:t>Section K. PERMITS NONTRANSFERABLE</w:t>
            </w:r>
            <w:r w:rsidR="00687672">
              <w:rPr>
                <w:noProof/>
                <w:webHidden/>
              </w:rPr>
              <w:tab/>
            </w:r>
            <w:r w:rsidR="00687672">
              <w:rPr>
                <w:noProof/>
                <w:webHidden/>
              </w:rPr>
              <w:fldChar w:fldCharType="begin"/>
            </w:r>
            <w:r w:rsidR="00687672">
              <w:rPr>
                <w:noProof/>
                <w:webHidden/>
              </w:rPr>
              <w:instrText xml:space="preserve"> PAGEREF _Toc65578303 \h </w:instrText>
            </w:r>
            <w:r w:rsidR="00687672">
              <w:rPr>
                <w:noProof/>
                <w:webHidden/>
              </w:rPr>
            </w:r>
            <w:r w:rsidR="00687672">
              <w:rPr>
                <w:noProof/>
                <w:webHidden/>
              </w:rPr>
              <w:fldChar w:fldCharType="separate"/>
            </w:r>
            <w:r w:rsidR="00897162">
              <w:rPr>
                <w:noProof/>
                <w:webHidden/>
              </w:rPr>
              <w:t>55</w:t>
            </w:r>
            <w:r w:rsidR="00687672">
              <w:rPr>
                <w:noProof/>
                <w:webHidden/>
              </w:rPr>
              <w:fldChar w:fldCharType="end"/>
            </w:r>
          </w:hyperlink>
        </w:p>
        <w:p w14:paraId="78B783AA" w14:textId="4FABB613" w:rsidR="00687672" w:rsidRDefault="004D728C">
          <w:pPr>
            <w:pStyle w:val="TOC3"/>
            <w:rPr>
              <w:noProof/>
              <w:sz w:val="24"/>
              <w:szCs w:val="24"/>
              <w:lang w:eastAsia="en-US"/>
            </w:rPr>
          </w:pPr>
          <w:hyperlink w:anchor="_Toc65578304" w:history="1">
            <w:r w:rsidR="00687672" w:rsidRPr="00623A32">
              <w:rPr>
                <w:rStyle w:val="Hyperlink"/>
                <w:rFonts w:ascii="Helvetica Neue" w:hAnsi="Helvetica Neue"/>
                <w:noProof/>
              </w:rPr>
              <w:t>Section L. FEE FOR PERMIT</w:t>
            </w:r>
            <w:r w:rsidR="00687672">
              <w:rPr>
                <w:noProof/>
                <w:webHidden/>
              </w:rPr>
              <w:tab/>
            </w:r>
            <w:r w:rsidR="00687672">
              <w:rPr>
                <w:noProof/>
                <w:webHidden/>
              </w:rPr>
              <w:fldChar w:fldCharType="begin"/>
            </w:r>
            <w:r w:rsidR="00687672">
              <w:rPr>
                <w:noProof/>
                <w:webHidden/>
              </w:rPr>
              <w:instrText xml:space="preserve"> PAGEREF _Toc65578304 \h </w:instrText>
            </w:r>
            <w:r w:rsidR="00687672">
              <w:rPr>
                <w:noProof/>
                <w:webHidden/>
              </w:rPr>
            </w:r>
            <w:r w:rsidR="00687672">
              <w:rPr>
                <w:noProof/>
                <w:webHidden/>
              </w:rPr>
              <w:fldChar w:fldCharType="separate"/>
            </w:r>
            <w:r w:rsidR="00897162">
              <w:rPr>
                <w:noProof/>
                <w:webHidden/>
              </w:rPr>
              <w:t>56</w:t>
            </w:r>
            <w:r w:rsidR="00687672">
              <w:rPr>
                <w:noProof/>
                <w:webHidden/>
              </w:rPr>
              <w:fldChar w:fldCharType="end"/>
            </w:r>
          </w:hyperlink>
        </w:p>
        <w:p w14:paraId="3343142F" w14:textId="09F2164B" w:rsidR="00687672" w:rsidRDefault="004D728C">
          <w:pPr>
            <w:pStyle w:val="TOC3"/>
            <w:rPr>
              <w:noProof/>
              <w:sz w:val="24"/>
              <w:szCs w:val="24"/>
              <w:lang w:eastAsia="en-US"/>
            </w:rPr>
          </w:pPr>
          <w:hyperlink w:anchor="_Toc65578305" w:history="1">
            <w:r w:rsidR="00687672" w:rsidRPr="00623A32">
              <w:rPr>
                <w:rStyle w:val="Hyperlink"/>
                <w:rFonts w:ascii="Helvetica Neue" w:hAnsi="Helvetica Neue"/>
                <w:noProof/>
              </w:rPr>
              <w:t>Section M. COMPLIANCE MONITORING</w:t>
            </w:r>
            <w:r w:rsidR="00687672">
              <w:rPr>
                <w:noProof/>
                <w:webHidden/>
              </w:rPr>
              <w:tab/>
            </w:r>
            <w:r w:rsidR="00687672">
              <w:rPr>
                <w:noProof/>
                <w:webHidden/>
              </w:rPr>
              <w:fldChar w:fldCharType="begin"/>
            </w:r>
            <w:r w:rsidR="00687672">
              <w:rPr>
                <w:noProof/>
                <w:webHidden/>
              </w:rPr>
              <w:instrText xml:space="preserve"> PAGEREF _Toc65578305 \h </w:instrText>
            </w:r>
            <w:r w:rsidR="00687672">
              <w:rPr>
                <w:noProof/>
                <w:webHidden/>
              </w:rPr>
            </w:r>
            <w:r w:rsidR="00687672">
              <w:rPr>
                <w:noProof/>
                <w:webHidden/>
              </w:rPr>
              <w:fldChar w:fldCharType="separate"/>
            </w:r>
            <w:r w:rsidR="00897162">
              <w:rPr>
                <w:noProof/>
                <w:webHidden/>
              </w:rPr>
              <w:t>57</w:t>
            </w:r>
            <w:r w:rsidR="00687672">
              <w:rPr>
                <w:noProof/>
                <w:webHidden/>
              </w:rPr>
              <w:fldChar w:fldCharType="end"/>
            </w:r>
          </w:hyperlink>
        </w:p>
        <w:p w14:paraId="2F6A19A1" w14:textId="1B4D4B43" w:rsidR="00687672" w:rsidRDefault="004D728C">
          <w:pPr>
            <w:pStyle w:val="TOC3"/>
            <w:rPr>
              <w:noProof/>
              <w:sz w:val="24"/>
              <w:szCs w:val="24"/>
              <w:lang w:eastAsia="en-US"/>
            </w:rPr>
          </w:pPr>
          <w:hyperlink w:anchor="_Toc65578306" w:history="1">
            <w:r w:rsidR="00687672" w:rsidRPr="00623A32">
              <w:rPr>
                <w:rStyle w:val="Hyperlink"/>
                <w:rFonts w:ascii="Helvetica Neue" w:hAnsi="Helvetica Neue"/>
                <w:noProof/>
              </w:rPr>
              <w:t>Section N. REMEDIES FOR VIOLATIONS</w:t>
            </w:r>
            <w:r w:rsidR="00687672">
              <w:rPr>
                <w:noProof/>
                <w:webHidden/>
              </w:rPr>
              <w:tab/>
            </w:r>
            <w:r w:rsidR="00687672">
              <w:rPr>
                <w:noProof/>
                <w:webHidden/>
              </w:rPr>
              <w:fldChar w:fldCharType="begin"/>
            </w:r>
            <w:r w:rsidR="00687672">
              <w:rPr>
                <w:noProof/>
                <w:webHidden/>
              </w:rPr>
              <w:instrText xml:space="preserve"> PAGEREF _Toc65578306 \h </w:instrText>
            </w:r>
            <w:r w:rsidR="00687672">
              <w:rPr>
                <w:noProof/>
                <w:webHidden/>
              </w:rPr>
            </w:r>
            <w:r w:rsidR="00687672">
              <w:rPr>
                <w:noProof/>
                <w:webHidden/>
              </w:rPr>
              <w:fldChar w:fldCharType="separate"/>
            </w:r>
            <w:r w:rsidR="00897162">
              <w:rPr>
                <w:noProof/>
                <w:webHidden/>
              </w:rPr>
              <w:t>59</w:t>
            </w:r>
            <w:r w:rsidR="00687672">
              <w:rPr>
                <w:noProof/>
                <w:webHidden/>
              </w:rPr>
              <w:fldChar w:fldCharType="end"/>
            </w:r>
          </w:hyperlink>
        </w:p>
        <w:p w14:paraId="14660511" w14:textId="34BA8174" w:rsidR="00687672" w:rsidRDefault="004D728C">
          <w:pPr>
            <w:pStyle w:val="TOC3"/>
            <w:rPr>
              <w:noProof/>
              <w:sz w:val="24"/>
              <w:szCs w:val="24"/>
              <w:lang w:eastAsia="en-US"/>
            </w:rPr>
          </w:pPr>
          <w:hyperlink w:anchor="_Toc65578307" w:history="1">
            <w:r w:rsidR="00687672" w:rsidRPr="00623A32">
              <w:rPr>
                <w:rStyle w:val="Hyperlink"/>
                <w:rFonts w:ascii="Helvetica Neue" w:hAnsi="Helvetica Neue"/>
                <w:noProof/>
              </w:rPr>
              <w:t>Section O. CANNABIS RETAILING WITHOUT A VALID PERMIT</w:t>
            </w:r>
            <w:r w:rsidR="00687672">
              <w:rPr>
                <w:noProof/>
                <w:webHidden/>
              </w:rPr>
              <w:tab/>
            </w:r>
            <w:r w:rsidR="00687672">
              <w:rPr>
                <w:noProof/>
                <w:webHidden/>
              </w:rPr>
              <w:fldChar w:fldCharType="begin"/>
            </w:r>
            <w:r w:rsidR="00687672">
              <w:rPr>
                <w:noProof/>
                <w:webHidden/>
              </w:rPr>
              <w:instrText xml:space="preserve"> PAGEREF _Toc65578307 \h </w:instrText>
            </w:r>
            <w:r w:rsidR="00687672">
              <w:rPr>
                <w:noProof/>
                <w:webHidden/>
              </w:rPr>
            </w:r>
            <w:r w:rsidR="00687672">
              <w:rPr>
                <w:noProof/>
                <w:webHidden/>
              </w:rPr>
              <w:fldChar w:fldCharType="separate"/>
            </w:r>
            <w:r w:rsidR="00897162">
              <w:rPr>
                <w:noProof/>
                <w:webHidden/>
              </w:rPr>
              <w:t>62</w:t>
            </w:r>
            <w:r w:rsidR="00687672">
              <w:rPr>
                <w:noProof/>
                <w:webHidden/>
              </w:rPr>
              <w:fldChar w:fldCharType="end"/>
            </w:r>
          </w:hyperlink>
        </w:p>
        <w:p w14:paraId="28DD0CE8" w14:textId="1DC4C952" w:rsidR="00687672" w:rsidRDefault="004D728C">
          <w:pPr>
            <w:pStyle w:val="TOC3"/>
            <w:rPr>
              <w:noProof/>
              <w:sz w:val="24"/>
              <w:szCs w:val="24"/>
              <w:lang w:eastAsia="en-US"/>
            </w:rPr>
          </w:pPr>
          <w:hyperlink w:anchor="_Toc65578308" w:history="1">
            <w:r w:rsidR="00687672" w:rsidRPr="00623A32">
              <w:rPr>
                <w:rStyle w:val="Hyperlink"/>
                <w:rFonts w:ascii="Helvetica Neue" w:hAnsi="Helvetica Neue"/>
                <w:noProof/>
              </w:rPr>
              <w:t>Section P. ADDITIONAL REMEDIES</w:t>
            </w:r>
            <w:r w:rsidR="00687672">
              <w:rPr>
                <w:noProof/>
                <w:webHidden/>
              </w:rPr>
              <w:tab/>
            </w:r>
            <w:r w:rsidR="00687672">
              <w:rPr>
                <w:noProof/>
                <w:webHidden/>
              </w:rPr>
              <w:fldChar w:fldCharType="begin"/>
            </w:r>
            <w:r w:rsidR="00687672">
              <w:rPr>
                <w:noProof/>
                <w:webHidden/>
              </w:rPr>
              <w:instrText xml:space="preserve"> PAGEREF _Toc65578308 \h </w:instrText>
            </w:r>
            <w:r w:rsidR="00687672">
              <w:rPr>
                <w:noProof/>
                <w:webHidden/>
              </w:rPr>
            </w:r>
            <w:r w:rsidR="00687672">
              <w:rPr>
                <w:noProof/>
                <w:webHidden/>
              </w:rPr>
              <w:fldChar w:fldCharType="separate"/>
            </w:r>
            <w:r w:rsidR="00897162">
              <w:rPr>
                <w:noProof/>
                <w:webHidden/>
              </w:rPr>
              <w:t>64</w:t>
            </w:r>
            <w:r w:rsidR="00687672">
              <w:rPr>
                <w:noProof/>
                <w:webHidden/>
              </w:rPr>
              <w:fldChar w:fldCharType="end"/>
            </w:r>
          </w:hyperlink>
        </w:p>
        <w:p w14:paraId="4344EECE" w14:textId="72EF3C8A" w:rsidR="00687672" w:rsidRDefault="004D728C">
          <w:pPr>
            <w:pStyle w:val="TOC2"/>
            <w:rPr>
              <w:sz w:val="24"/>
              <w:szCs w:val="24"/>
              <w:lang w:eastAsia="en-US"/>
            </w:rPr>
          </w:pPr>
          <w:hyperlink w:anchor="_Toc65578309" w:history="1">
            <w:r w:rsidR="00687672" w:rsidRPr="00623A32">
              <w:rPr>
                <w:rStyle w:val="Hyperlink"/>
                <w:rFonts w:ascii="Helvetica Neue" w:hAnsi="Helvetica Neue"/>
              </w:rPr>
              <w:t>SECTION III. MARKETING AND ADVERTISING</w:t>
            </w:r>
            <w:r w:rsidR="00687672">
              <w:rPr>
                <w:webHidden/>
              </w:rPr>
              <w:tab/>
            </w:r>
            <w:r w:rsidR="00687672">
              <w:rPr>
                <w:webHidden/>
              </w:rPr>
              <w:fldChar w:fldCharType="begin"/>
            </w:r>
            <w:r w:rsidR="00687672">
              <w:rPr>
                <w:webHidden/>
              </w:rPr>
              <w:instrText xml:space="preserve"> PAGEREF _Toc65578309 \h </w:instrText>
            </w:r>
            <w:r w:rsidR="00687672">
              <w:rPr>
                <w:webHidden/>
              </w:rPr>
            </w:r>
            <w:r w:rsidR="00687672">
              <w:rPr>
                <w:webHidden/>
              </w:rPr>
              <w:fldChar w:fldCharType="separate"/>
            </w:r>
            <w:r w:rsidR="00897162">
              <w:rPr>
                <w:webHidden/>
              </w:rPr>
              <w:t>66</w:t>
            </w:r>
            <w:r w:rsidR="00687672">
              <w:rPr>
                <w:webHidden/>
              </w:rPr>
              <w:fldChar w:fldCharType="end"/>
            </w:r>
          </w:hyperlink>
        </w:p>
        <w:p w14:paraId="468A3C76" w14:textId="000F088E" w:rsidR="00687672" w:rsidRDefault="004D728C">
          <w:pPr>
            <w:pStyle w:val="TOC3"/>
            <w:rPr>
              <w:noProof/>
              <w:sz w:val="24"/>
              <w:szCs w:val="24"/>
              <w:lang w:eastAsia="en-US"/>
            </w:rPr>
          </w:pPr>
          <w:hyperlink w:anchor="_Toc65578310" w:history="1">
            <w:r w:rsidR="00687672" w:rsidRPr="00623A32">
              <w:rPr>
                <w:rStyle w:val="Hyperlink"/>
                <w:rFonts w:ascii="Helvetica Neue" w:hAnsi="Helvetica Neue"/>
                <w:noProof/>
              </w:rPr>
              <w:t>Section A. DEFINITIONS</w:t>
            </w:r>
            <w:r w:rsidR="00687672">
              <w:rPr>
                <w:noProof/>
                <w:webHidden/>
              </w:rPr>
              <w:tab/>
            </w:r>
            <w:r w:rsidR="00687672">
              <w:rPr>
                <w:noProof/>
                <w:webHidden/>
              </w:rPr>
              <w:fldChar w:fldCharType="begin"/>
            </w:r>
            <w:r w:rsidR="00687672">
              <w:rPr>
                <w:noProof/>
                <w:webHidden/>
              </w:rPr>
              <w:instrText xml:space="preserve"> PAGEREF _Toc65578310 \h </w:instrText>
            </w:r>
            <w:r w:rsidR="00687672">
              <w:rPr>
                <w:noProof/>
                <w:webHidden/>
              </w:rPr>
            </w:r>
            <w:r w:rsidR="00687672">
              <w:rPr>
                <w:noProof/>
                <w:webHidden/>
              </w:rPr>
              <w:fldChar w:fldCharType="separate"/>
            </w:r>
            <w:r w:rsidR="00897162">
              <w:rPr>
                <w:noProof/>
                <w:webHidden/>
              </w:rPr>
              <w:t>66</w:t>
            </w:r>
            <w:r w:rsidR="00687672">
              <w:rPr>
                <w:noProof/>
                <w:webHidden/>
              </w:rPr>
              <w:fldChar w:fldCharType="end"/>
            </w:r>
          </w:hyperlink>
        </w:p>
        <w:p w14:paraId="403E5CB9" w14:textId="76582672" w:rsidR="00687672" w:rsidRDefault="004D728C">
          <w:pPr>
            <w:pStyle w:val="TOC3"/>
            <w:rPr>
              <w:noProof/>
              <w:sz w:val="24"/>
              <w:szCs w:val="24"/>
              <w:lang w:eastAsia="en-US"/>
            </w:rPr>
          </w:pPr>
          <w:hyperlink w:anchor="_Toc65578311" w:history="1">
            <w:r w:rsidR="00687672" w:rsidRPr="00623A32">
              <w:rPr>
                <w:rStyle w:val="Hyperlink"/>
                <w:rFonts w:ascii="Helvetica Neue" w:hAnsi="Helvetica Neue"/>
                <w:noProof/>
              </w:rPr>
              <w:t>Section B. Restrictions on Claims, Attractiveness to Youth, and Images of Risky Behavior.</w:t>
            </w:r>
            <w:r w:rsidR="00687672">
              <w:rPr>
                <w:noProof/>
                <w:webHidden/>
              </w:rPr>
              <w:tab/>
            </w:r>
            <w:r w:rsidR="00687672">
              <w:rPr>
                <w:noProof/>
                <w:webHidden/>
              </w:rPr>
              <w:fldChar w:fldCharType="begin"/>
            </w:r>
            <w:r w:rsidR="00687672">
              <w:rPr>
                <w:noProof/>
                <w:webHidden/>
              </w:rPr>
              <w:instrText xml:space="preserve"> PAGEREF _Toc65578311 \h </w:instrText>
            </w:r>
            <w:r w:rsidR="00687672">
              <w:rPr>
                <w:noProof/>
                <w:webHidden/>
              </w:rPr>
            </w:r>
            <w:r w:rsidR="00687672">
              <w:rPr>
                <w:noProof/>
                <w:webHidden/>
              </w:rPr>
              <w:fldChar w:fldCharType="separate"/>
            </w:r>
            <w:r w:rsidR="00897162">
              <w:rPr>
                <w:noProof/>
                <w:webHidden/>
              </w:rPr>
              <w:t>66</w:t>
            </w:r>
            <w:r w:rsidR="00687672">
              <w:rPr>
                <w:noProof/>
                <w:webHidden/>
              </w:rPr>
              <w:fldChar w:fldCharType="end"/>
            </w:r>
          </w:hyperlink>
        </w:p>
        <w:p w14:paraId="33780797" w14:textId="0D553B35" w:rsidR="00687672" w:rsidRDefault="004D728C">
          <w:pPr>
            <w:pStyle w:val="TOC3"/>
            <w:rPr>
              <w:noProof/>
              <w:sz w:val="24"/>
              <w:szCs w:val="24"/>
              <w:lang w:eastAsia="en-US"/>
            </w:rPr>
          </w:pPr>
          <w:hyperlink w:anchor="_Toc65578312" w:history="1">
            <w:r w:rsidR="00687672" w:rsidRPr="00623A32">
              <w:rPr>
                <w:rStyle w:val="Hyperlink"/>
                <w:rFonts w:ascii="Helvetica Neue" w:hAnsi="Helvetica Neue"/>
                <w:noProof/>
              </w:rPr>
              <w:t>Section C. Restrictions on Branded Merchandise.</w:t>
            </w:r>
            <w:r w:rsidR="00687672">
              <w:rPr>
                <w:noProof/>
                <w:webHidden/>
              </w:rPr>
              <w:tab/>
            </w:r>
            <w:r w:rsidR="00687672">
              <w:rPr>
                <w:noProof/>
                <w:webHidden/>
              </w:rPr>
              <w:fldChar w:fldCharType="begin"/>
            </w:r>
            <w:r w:rsidR="00687672">
              <w:rPr>
                <w:noProof/>
                <w:webHidden/>
              </w:rPr>
              <w:instrText xml:space="preserve"> PAGEREF _Toc65578312 \h </w:instrText>
            </w:r>
            <w:r w:rsidR="00687672">
              <w:rPr>
                <w:noProof/>
                <w:webHidden/>
              </w:rPr>
            </w:r>
            <w:r w:rsidR="00687672">
              <w:rPr>
                <w:noProof/>
                <w:webHidden/>
              </w:rPr>
              <w:fldChar w:fldCharType="separate"/>
            </w:r>
            <w:r w:rsidR="00897162">
              <w:rPr>
                <w:noProof/>
                <w:webHidden/>
              </w:rPr>
              <w:t>69</w:t>
            </w:r>
            <w:r w:rsidR="00687672">
              <w:rPr>
                <w:noProof/>
                <w:webHidden/>
              </w:rPr>
              <w:fldChar w:fldCharType="end"/>
            </w:r>
          </w:hyperlink>
        </w:p>
        <w:p w14:paraId="1EC7F24A" w14:textId="6E64746C" w:rsidR="00687672" w:rsidRDefault="004D728C">
          <w:pPr>
            <w:pStyle w:val="TOC3"/>
            <w:rPr>
              <w:noProof/>
              <w:sz w:val="24"/>
              <w:szCs w:val="24"/>
              <w:lang w:eastAsia="en-US"/>
            </w:rPr>
          </w:pPr>
          <w:hyperlink w:anchor="_Toc65578313" w:history="1">
            <w:r w:rsidR="00687672" w:rsidRPr="00623A32">
              <w:rPr>
                <w:rStyle w:val="Hyperlink"/>
                <w:rFonts w:ascii="Helvetica Neue" w:hAnsi="Helvetica Neue"/>
                <w:noProof/>
              </w:rPr>
              <w:t>Section D. (OPTION) Warning Label Requirements.</w:t>
            </w:r>
            <w:r w:rsidR="00687672">
              <w:rPr>
                <w:noProof/>
                <w:webHidden/>
              </w:rPr>
              <w:tab/>
            </w:r>
            <w:r w:rsidR="00687672">
              <w:rPr>
                <w:noProof/>
                <w:webHidden/>
              </w:rPr>
              <w:fldChar w:fldCharType="begin"/>
            </w:r>
            <w:r w:rsidR="00687672">
              <w:rPr>
                <w:noProof/>
                <w:webHidden/>
              </w:rPr>
              <w:instrText xml:space="preserve"> PAGEREF _Toc65578313 \h </w:instrText>
            </w:r>
            <w:r w:rsidR="00687672">
              <w:rPr>
                <w:noProof/>
                <w:webHidden/>
              </w:rPr>
            </w:r>
            <w:r w:rsidR="00687672">
              <w:rPr>
                <w:noProof/>
                <w:webHidden/>
              </w:rPr>
              <w:fldChar w:fldCharType="separate"/>
            </w:r>
            <w:r w:rsidR="00897162">
              <w:rPr>
                <w:noProof/>
                <w:webHidden/>
              </w:rPr>
              <w:t>69</w:t>
            </w:r>
            <w:r w:rsidR="00687672">
              <w:rPr>
                <w:noProof/>
                <w:webHidden/>
              </w:rPr>
              <w:fldChar w:fldCharType="end"/>
            </w:r>
          </w:hyperlink>
        </w:p>
        <w:p w14:paraId="77A6D0D4" w14:textId="5C35221A" w:rsidR="00687672" w:rsidRDefault="004D728C">
          <w:pPr>
            <w:pStyle w:val="TOC3"/>
            <w:rPr>
              <w:noProof/>
              <w:sz w:val="24"/>
              <w:szCs w:val="24"/>
              <w:lang w:eastAsia="en-US"/>
            </w:rPr>
          </w:pPr>
          <w:hyperlink w:anchor="_Toc65578314" w:history="1">
            <w:r w:rsidR="00687672" w:rsidRPr="00623A32">
              <w:rPr>
                <w:rStyle w:val="Hyperlink"/>
                <w:rFonts w:ascii="Helvetica Neue" w:hAnsi="Helvetica Neue"/>
                <w:noProof/>
              </w:rPr>
              <w:t>Section E. General Requirements.</w:t>
            </w:r>
            <w:r w:rsidR="00687672">
              <w:rPr>
                <w:noProof/>
                <w:webHidden/>
              </w:rPr>
              <w:tab/>
            </w:r>
            <w:r w:rsidR="00687672">
              <w:rPr>
                <w:noProof/>
                <w:webHidden/>
              </w:rPr>
              <w:fldChar w:fldCharType="begin"/>
            </w:r>
            <w:r w:rsidR="00687672">
              <w:rPr>
                <w:noProof/>
                <w:webHidden/>
              </w:rPr>
              <w:instrText xml:space="preserve"> PAGEREF _Toc65578314 \h </w:instrText>
            </w:r>
            <w:r w:rsidR="00687672">
              <w:rPr>
                <w:noProof/>
                <w:webHidden/>
              </w:rPr>
            </w:r>
            <w:r w:rsidR="00687672">
              <w:rPr>
                <w:noProof/>
                <w:webHidden/>
              </w:rPr>
              <w:fldChar w:fldCharType="separate"/>
            </w:r>
            <w:r w:rsidR="00897162">
              <w:rPr>
                <w:noProof/>
                <w:webHidden/>
              </w:rPr>
              <w:t>71</w:t>
            </w:r>
            <w:r w:rsidR="00687672">
              <w:rPr>
                <w:noProof/>
                <w:webHidden/>
              </w:rPr>
              <w:fldChar w:fldCharType="end"/>
            </w:r>
          </w:hyperlink>
        </w:p>
        <w:p w14:paraId="55A64DF3" w14:textId="0A09E35E" w:rsidR="00687672" w:rsidRDefault="004D728C">
          <w:pPr>
            <w:pStyle w:val="TOC3"/>
            <w:rPr>
              <w:noProof/>
              <w:sz w:val="24"/>
              <w:szCs w:val="24"/>
              <w:lang w:eastAsia="en-US"/>
            </w:rPr>
          </w:pPr>
          <w:hyperlink w:anchor="_Toc65578315" w:history="1">
            <w:r w:rsidR="00687672" w:rsidRPr="00623A32">
              <w:rPr>
                <w:rStyle w:val="Hyperlink"/>
                <w:rFonts w:ascii="Helvetica Neue" w:hAnsi="Helvetica Neue"/>
                <w:noProof/>
              </w:rPr>
              <w:t>Section F. Enforcement and Penalties.</w:t>
            </w:r>
            <w:r w:rsidR="00687672">
              <w:rPr>
                <w:noProof/>
                <w:webHidden/>
              </w:rPr>
              <w:tab/>
            </w:r>
            <w:r w:rsidR="00687672">
              <w:rPr>
                <w:noProof/>
                <w:webHidden/>
              </w:rPr>
              <w:fldChar w:fldCharType="begin"/>
            </w:r>
            <w:r w:rsidR="00687672">
              <w:rPr>
                <w:noProof/>
                <w:webHidden/>
              </w:rPr>
              <w:instrText xml:space="preserve"> PAGEREF _Toc65578315 \h </w:instrText>
            </w:r>
            <w:r w:rsidR="00687672">
              <w:rPr>
                <w:noProof/>
                <w:webHidden/>
              </w:rPr>
            </w:r>
            <w:r w:rsidR="00687672">
              <w:rPr>
                <w:noProof/>
                <w:webHidden/>
              </w:rPr>
              <w:fldChar w:fldCharType="separate"/>
            </w:r>
            <w:r w:rsidR="00897162">
              <w:rPr>
                <w:noProof/>
                <w:webHidden/>
              </w:rPr>
              <w:t>71</w:t>
            </w:r>
            <w:r w:rsidR="00687672">
              <w:rPr>
                <w:noProof/>
                <w:webHidden/>
              </w:rPr>
              <w:fldChar w:fldCharType="end"/>
            </w:r>
          </w:hyperlink>
        </w:p>
        <w:p w14:paraId="680943B5" w14:textId="7DD28B1D" w:rsidR="00687672" w:rsidRDefault="004D728C">
          <w:pPr>
            <w:pStyle w:val="TOC2"/>
            <w:rPr>
              <w:sz w:val="24"/>
              <w:szCs w:val="24"/>
              <w:lang w:eastAsia="en-US"/>
            </w:rPr>
          </w:pPr>
          <w:hyperlink w:anchor="_Toc65578316" w:history="1">
            <w:r w:rsidR="00687672" w:rsidRPr="00623A32">
              <w:rPr>
                <w:rStyle w:val="Hyperlink"/>
                <w:rFonts w:ascii="Helvetica Neue" w:hAnsi="Helvetica Neue"/>
              </w:rPr>
              <w:t>SECTION IV. SEVERABILITY</w:t>
            </w:r>
            <w:r w:rsidR="00687672">
              <w:rPr>
                <w:webHidden/>
              </w:rPr>
              <w:tab/>
            </w:r>
            <w:r w:rsidR="00687672">
              <w:rPr>
                <w:webHidden/>
              </w:rPr>
              <w:fldChar w:fldCharType="begin"/>
            </w:r>
            <w:r w:rsidR="00687672">
              <w:rPr>
                <w:webHidden/>
              </w:rPr>
              <w:instrText xml:space="preserve"> PAGEREF _Toc65578316 \h </w:instrText>
            </w:r>
            <w:r w:rsidR="00687672">
              <w:rPr>
                <w:webHidden/>
              </w:rPr>
            </w:r>
            <w:r w:rsidR="00687672">
              <w:rPr>
                <w:webHidden/>
              </w:rPr>
              <w:fldChar w:fldCharType="separate"/>
            </w:r>
            <w:r w:rsidR="00897162">
              <w:rPr>
                <w:webHidden/>
              </w:rPr>
              <w:t>71</w:t>
            </w:r>
            <w:r w:rsidR="00687672">
              <w:rPr>
                <w:webHidden/>
              </w:rPr>
              <w:fldChar w:fldCharType="end"/>
            </w:r>
          </w:hyperlink>
        </w:p>
        <w:p w14:paraId="78D37570" w14:textId="46776E31" w:rsidR="004C48FF" w:rsidRPr="000E7999" w:rsidRDefault="00735C55" w:rsidP="000E7999">
          <w:pPr>
            <w:rPr>
              <w:rFonts w:ascii="Helvetica Neue" w:hAnsi="Helvetica Neue"/>
              <w:b/>
              <w:bCs/>
              <w:noProof/>
            </w:rPr>
            <w:sectPr w:rsidR="004C48FF" w:rsidRPr="000E7999" w:rsidSect="00864E02">
              <w:pgSz w:w="12240" w:h="15840"/>
              <w:pgMar w:top="1440" w:right="1080" w:bottom="1440" w:left="1080" w:header="432" w:footer="432" w:gutter="0"/>
              <w:pgNumType w:start="1"/>
              <w:cols w:space="720"/>
              <w:docGrid w:linePitch="360"/>
            </w:sectPr>
          </w:pPr>
          <w:r w:rsidRPr="001115C5">
            <w:rPr>
              <w:rFonts w:ascii="Helvetica Neue" w:hAnsi="Helvetica Neue"/>
              <w:b/>
              <w:bCs/>
              <w:noProof/>
            </w:rPr>
            <w:fldChar w:fldCharType="end"/>
          </w:r>
        </w:p>
      </w:sdtContent>
    </w:sdt>
    <w:p w14:paraId="634D4C6F" w14:textId="77777777" w:rsidR="0070520E" w:rsidRPr="001115C5" w:rsidRDefault="0070520E" w:rsidP="00A61E68">
      <w:pPr>
        <w:pStyle w:val="Heading1"/>
        <w:spacing w:before="240" w:after="120"/>
        <w:rPr>
          <w:rFonts w:ascii="Helvetica Neue" w:hAnsi="Helvetica Neue"/>
        </w:rPr>
      </w:pPr>
      <w:bookmarkStart w:id="0" w:name="_Toc65578288"/>
      <w:r w:rsidRPr="001115C5">
        <w:rPr>
          <w:rFonts w:ascii="Helvetica Neue" w:hAnsi="Helvetica Neue"/>
        </w:rPr>
        <w:lastRenderedPageBreak/>
        <w:t>Introduction</w:t>
      </w:r>
      <w:bookmarkEnd w:id="0"/>
    </w:p>
    <w:p w14:paraId="277A3D2E" w14:textId="239C1105" w:rsidR="0070520E" w:rsidRPr="001115C5" w:rsidRDefault="0070520E" w:rsidP="002269F8">
      <w:pPr>
        <w:spacing w:after="240"/>
        <w:ind w:firstLine="720"/>
        <w:rPr>
          <w:rFonts w:ascii="Helvetica Neue" w:hAnsi="Helvetica Neue" w:cs="Arial"/>
        </w:rPr>
      </w:pPr>
      <w:r w:rsidRPr="001115C5">
        <w:rPr>
          <w:rFonts w:ascii="Helvetica Neue" w:hAnsi="Helvetica Neue" w:cs="Arial"/>
        </w:rPr>
        <w:t>Cannabis, like alcohol and tobacco, is an addictive substance that should not be treated as an ordinary commodity in the marketplace.</w:t>
      </w:r>
      <w:r w:rsidR="000A644E" w:rsidRPr="001115C5">
        <w:rPr>
          <w:rStyle w:val="FootnoteReference"/>
          <w:rFonts w:ascii="Helvetica Neue" w:hAnsi="Helvetica Neue" w:cs="Arial"/>
        </w:rPr>
        <w:footnoteReference w:id="1"/>
      </w:r>
      <w:r w:rsidRPr="001115C5">
        <w:rPr>
          <w:rFonts w:ascii="Helvetica Neue" w:hAnsi="Helvetica Neue" w:cs="Arial"/>
        </w:rPr>
        <w:t xml:space="preserve"> While </w:t>
      </w:r>
      <w:r w:rsidR="000E7999">
        <w:rPr>
          <w:rFonts w:ascii="Helvetica Neue" w:hAnsi="Helvetica Neue" w:cs="Arial"/>
        </w:rPr>
        <w:t>decriminalization</w:t>
      </w:r>
      <w:r w:rsidRPr="001115C5">
        <w:rPr>
          <w:rFonts w:ascii="Helvetica Neue" w:hAnsi="Helvetica Neue" w:cs="Arial"/>
        </w:rPr>
        <w:t xml:space="preserve"> is a useful tool, an unfettered commercial framework should not be the substitute. Rather, </w:t>
      </w:r>
      <w:r w:rsidR="000E7999">
        <w:rPr>
          <w:rFonts w:ascii="Helvetica Neue" w:hAnsi="Helvetica Neue" w:cs="Arial"/>
        </w:rPr>
        <w:t xml:space="preserve">where sale is legalized, </w:t>
      </w:r>
      <w:r w:rsidRPr="001115C5">
        <w:rPr>
          <w:rFonts w:ascii="Helvetica Neue" w:hAnsi="Helvetica Neue" w:cs="Arial"/>
        </w:rPr>
        <w:t xml:space="preserve">cannabis regulation should be grounded in public health protection and a primary goal should be to establish a legal market while at the same time mitigating and preventing harm through careful regulation. This means ensuring that emerging commercial interests do not outweigh the need </w:t>
      </w:r>
      <w:r w:rsidR="000E7999">
        <w:rPr>
          <w:rFonts w:ascii="Helvetica Neue" w:hAnsi="Helvetica Neue" w:cs="Arial"/>
        </w:rPr>
        <w:t>for</w:t>
      </w:r>
      <w:r w:rsidRPr="001115C5">
        <w:rPr>
          <w:rFonts w:ascii="Helvetica Neue" w:hAnsi="Helvetica Neue" w:cs="Arial"/>
        </w:rPr>
        <w:t xml:space="preserve"> healthy environments for youth to flourish. While illegality did not keep youth from using cannabis, the rapid heating</w:t>
      </w:r>
      <w:r w:rsidR="000E7999">
        <w:rPr>
          <w:rFonts w:ascii="Helvetica Neue" w:hAnsi="Helvetica Neue" w:cs="Arial"/>
        </w:rPr>
        <w:t xml:space="preserve"> of the </w:t>
      </w:r>
      <w:r w:rsidRPr="001115C5">
        <w:rPr>
          <w:rFonts w:ascii="Helvetica Neue" w:hAnsi="Helvetica Neue" w:cs="Arial"/>
        </w:rPr>
        <w:t>new cannabis market is leading it to “boil over,” exposing young people to increasingly potent and addictive products and intensive marketing. That overheating is happening today – youth marijuana use has reached its highest levels in 35 years, daily use and use during pregnancy are climbing, and a vaping epidemic has swept the nation.</w:t>
      </w:r>
    </w:p>
    <w:p w14:paraId="1789D50C" w14:textId="555AA4A6" w:rsidR="0070520E" w:rsidRPr="001115C5" w:rsidRDefault="0070520E" w:rsidP="002269F8">
      <w:pPr>
        <w:spacing w:after="240"/>
        <w:ind w:firstLine="720"/>
        <w:rPr>
          <w:rFonts w:ascii="Helvetica Neue" w:hAnsi="Helvetica Neue" w:cs="Arial"/>
        </w:rPr>
      </w:pPr>
      <w:r w:rsidRPr="001115C5">
        <w:rPr>
          <w:rFonts w:ascii="Helvetica Neue" w:hAnsi="Helvetica Neue" w:cs="Arial"/>
        </w:rPr>
        <w:t>As a community, we have a collective responsibility to protect children and youth from harm to the developing brain. Of particular concern is the impact of legalization on youth below age 25, because research suggests that use among youth carries special risks to the developing brain that are not present for older adults. For example, daily use of cannabis by high school students halves the high school graduation rate</w:t>
      </w:r>
      <w:r w:rsidR="000E7999" w:rsidRPr="000E7999">
        <w:rPr>
          <w:rFonts w:ascii="Helvetica Neue" w:hAnsi="Helvetica Neue" w:cs="Arial"/>
        </w:rPr>
        <w:t>;</w:t>
      </w:r>
      <w:r w:rsidR="000A644E" w:rsidRPr="001115C5">
        <w:rPr>
          <w:rStyle w:val="FootnoteReference"/>
          <w:rFonts w:ascii="Helvetica Neue" w:hAnsi="Helvetica Neue" w:cs="Arial"/>
        </w:rPr>
        <w:footnoteReference w:id="2"/>
      </w:r>
      <w:r w:rsidRPr="001115C5">
        <w:rPr>
          <w:rFonts w:ascii="Helvetica Neue" w:hAnsi="Helvetica Neue" w:cs="Arial"/>
        </w:rPr>
        <w:t xml:space="preserve"> and daily consumption of cannabis with over 10% THC – virtually the entire California market today</w:t>
      </w:r>
      <w:r w:rsidR="000E7999">
        <w:rPr>
          <w:rFonts w:ascii="Helvetica Neue" w:hAnsi="Helvetica Neue" w:cs="Arial"/>
        </w:rPr>
        <w:t xml:space="preserve">, is associated with a fivefold increase in odds of </w:t>
      </w:r>
      <w:r w:rsidRPr="001115C5">
        <w:rPr>
          <w:rFonts w:ascii="Helvetica Neue" w:hAnsi="Helvetica Neue" w:cs="Arial"/>
        </w:rPr>
        <w:t>developing psychosis, a heartrending burden for families and an expensive and complex burden for communities.</w:t>
      </w:r>
      <w:r w:rsidR="001466E8">
        <w:rPr>
          <w:rStyle w:val="FootnoteReference"/>
          <w:rFonts w:ascii="Helvetica Neue" w:hAnsi="Helvetica Neue" w:cs="Arial"/>
        </w:rPr>
        <w:footnoteReference w:id="3"/>
      </w:r>
      <w:r w:rsidRPr="001115C5">
        <w:rPr>
          <w:rFonts w:ascii="Helvetica Neue" w:hAnsi="Helvetica Neue" w:cs="Arial"/>
        </w:rPr>
        <w:t xml:space="preserve"> Vaping of cannabis by youth 18-22 doubled in a single year between 2017 and 2018, young adult marijuana use is at a 35-year high, and daily marijuana use amongst 8th, 10th and 12th graders has also risen precipitously.</w:t>
      </w:r>
      <w:r w:rsidR="000A644E" w:rsidRPr="001115C5">
        <w:rPr>
          <w:rStyle w:val="FootnoteReference"/>
          <w:rFonts w:ascii="Helvetica Neue" w:hAnsi="Helvetica Neue" w:cs="Arial"/>
        </w:rPr>
        <w:footnoteReference w:id="4"/>
      </w:r>
      <w:r w:rsidRPr="001115C5">
        <w:rPr>
          <w:rFonts w:ascii="Helvetica Neue" w:hAnsi="Helvetica Neue" w:cs="Arial"/>
        </w:rPr>
        <w:t xml:space="preserve"> In a single year, the vaping epidemic, driven by these vast increases in use and dangerously designed products, hospitalized over 2,700 and killed 68.</w:t>
      </w:r>
      <w:r w:rsidR="00593ACF" w:rsidRPr="001115C5">
        <w:rPr>
          <w:rStyle w:val="FootnoteReference"/>
          <w:rFonts w:ascii="Helvetica Neue" w:hAnsi="Helvetica Neue" w:cs="Arial"/>
        </w:rPr>
        <w:footnoteReference w:id="5"/>
      </w:r>
    </w:p>
    <w:p w14:paraId="1DBEDDD7" w14:textId="1533FE27" w:rsidR="0070520E" w:rsidRPr="001115C5" w:rsidRDefault="0070520E" w:rsidP="002269F8">
      <w:pPr>
        <w:spacing w:after="240"/>
        <w:ind w:firstLine="720"/>
        <w:rPr>
          <w:rFonts w:ascii="Helvetica Neue" w:hAnsi="Helvetica Neue" w:cs="Arial"/>
        </w:rPr>
      </w:pPr>
      <w:r w:rsidRPr="001115C5">
        <w:rPr>
          <w:rFonts w:ascii="Helvetica Neue" w:hAnsi="Helvetica Neue" w:cs="Arial"/>
        </w:rPr>
        <w:t>This public health-focused Model Cannabis Retail Sales and Marketing Ordinance was first published in 2017, along with model local taxation ordinances, to help local California jurisdictions respond more safely to the legalization of adult-use cannabis approved by voters in 2016, while recognizing the revenue concerns of local government. Those initial recommendations were widely shared with all cities and counties, public health authoritie</w:t>
      </w:r>
      <w:r w:rsidR="000A644E" w:rsidRPr="001115C5">
        <w:rPr>
          <w:rFonts w:ascii="Helvetica Neue" w:hAnsi="Helvetica Neue" w:cs="Arial"/>
        </w:rPr>
        <w:t>s and community organizations.</w:t>
      </w:r>
    </w:p>
    <w:p w14:paraId="3E514896" w14:textId="06A9E1D5" w:rsidR="0070520E" w:rsidRPr="001115C5" w:rsidRDefault="0070520E" w:rsidP="002269F8">
      <w:pPr>
        <w:spacing w:after="240"/>
        <w:ind w:firstLine="720"/>
        <w:rPr>
          <w:rFonts w:ascii="Helvetica Neue" w:hAnsi="Helvetica Neue" w:cs="Arial"/>
        </w:rPr>
      </w:pPr>
      <w:r w:rsidRPr="001115C5">
        <w:rPr>
          <w:rFonts w:ascii="Helvetica Neue" w:hAnsi="Helvetica Neue" w:cs="Arial"/>
        </w:rPr>
        <w:lastRenderedPageBreak/>
        <w:t>Local jurisdictions made initial decisions whether (1) to do nothing, in which case retailers may apply for a state license to sell cannabis starting January 1, 2018; (2) to ban the sale of cannabis locally; or (3) to develop their own rules and regulations to govern the cultivation, production, sale and marketing of this product in their community. Alternatively, some communities decided to take more time to craft local policy through bans on recreational cannabis sales</w:t>
      </w:r>
      <w:r w:rsidR="000A644E" w:rsidRPr="001115C5">
        <w:rPr>
          <w:rFonts w:ascii="Helvetica Neue" w:hAnsi="Helvetica Neue" w:cs="Arial"/>
        </w:rPr>
        <w:t xml:space="preserve"> that were viewed as temporary.</w:t>
      </w:r>
    </w:p>
    <w:p w14:paraId="4F5A8745" w14:textId="39BD64DF" w:rsidR="0070520E" w:rsidRPr="001115C5" w:rsidRDefault="0070520E" w:rsidP="002269F8">
      <w:pPr>
        <w:spacing w:after="240"/>
        <w:ind w:firstLine="720"/>
        <w:rPr>
          <w:rFonts w:ascii="Helvetica Neue" w:hAnsi="Helvetica Neue" w:cs="Arial"/>
        </w:rPr>
      </w:pPr>
      <w:r w:rsidRPr="001115C5">
        <w:rPr>
          <w:rFonts w:ascii="Helvetica Neue" w:hAnsi="Helvetica Neue" w:cs="Arial"/>
        </w:rPr>
        <w:t>Cities and counties have continued to gradually develop their approaches to cannabis commerce over the past three years. During that time 49% of California local jurisdictions, home to 57% of the population, opted to legalize sale of cannabis in some form, 48% allowing medical sales and</w:t>
      </w:r>
      <w:r w:rsidR="00593ACF" w:rsidRPr="001115C5">
        <w:rPr>
          <w:rFonts w:ascii="Helvetica Neue" w:hAnsi="Helvetica Neue" w:cs="Arial"/>
        </w:rPr>
        <w:t xml:space="preserve"> 38% recreational.</w:t>
      </w:r>
      <w:r w:rsidR="00593ACF" w:rsidRPr="001115C5">
        <w:rPr>
          <w:rStyle w:val="FootnoteReference"/>
          <w:rFonts w:ascii="Helvetica Neue" w:hAnsi="Helvetica Neue" w:cs="Arial"/>
        </w:rPr>
        <w:footnoteReference w:id="6"/>
      </w:r>
      <w:r w:rsidR="00593ACF" w:rsidRPr="001115C5">
        <w:rPr>
          <w:rFonts w:ascii="Helvetica Neue" w:hAnsi="Helvetica Neue" w:cs="Arial"/>
        </w:rPr>
        <w:t xml:space="preserve"> </w:t>
      </w:r>
      <w:r w:rsidRPr="001115C5">
        <w:rPr>
          <w:rFonts w:ascii="Helvetica Neue" w:hAnsi="Helvetica Neue" w:cs="Arial"/>
        </w:rPr>
        <w:t>Many of the recommendations of this model were adopted over the last two years</w:t>
      </w:r>
      <w:r w:rsidR="00946988">
        <w:rPr>
          <w:rFonts w:ascii="Helvetica Neue" w:hAnsi="Helvetica Neue" w:cs="Arial"/>
        </w:rPr>
        <w:t xml:space="preserve"> in some communities</w:t>
      </w:r>
      <w:r w:rsidRPr="001115C5">
        <w:rPr>
          <w:rFonts w:ascii="Helvetica Neue" w:hAnsi="Helvetica Neue" w:cs="Arial"/>
        </w:rPr>
        <w:t>. Of those allowing legal cannabis sales, 63% limited the number of dispensaries to an average of 1 per 19,000 residents, 86% did not allow on-site consumption, 27 jurisdictions required additional health warnings, 14% limited advertising or marketing in some way, however</w:t>
      </w:r>
      <w:r w:rsidR="00946988">
        <w:rPr>
          <w:rFonts w:ascii="Helvetica Neue" w:hAnsi="Helvetica Neue" w:cs="Arial"/>
        </w:rPr>
        <w:t>,</w:t>
      </w:r>
      <w:r w:rsidRPr="001115C5">
        <w:rPr>
          <w:rFonts w:ascii="Helvetica Neue" w:hAnsi="Helvetica Neue" w:cs="Arial"/>
        </w:rPr>
        <w:t xml:space="preserve"> only 5 created social equity programs in licensing and/or hiring. Contra Costa County banned flavored products for combustion or inhalation, and later banned all cannabi</w:t>
      </w:r>
      <w:r w:rsidR="00593ACF" w:rsidRPr="001115C5">
        <w:rPr>
          <w:rFonts w:ascii="Helvetica Neue" w:hAnsi="Helvetica Neue" w:cs="Arial"/>
        </w:rPr>
        <w:t xml:space="preserve">s and tobacco vaping products. </w:t>
      </w:r>
      <w:r w:rsidRPr="001115C5">
        <w:rPr>
          <w:rFonts w:ascii="Helvetica Neue" w:hAnsi="Helvetica Neue" w:cs="Arial"/>
        </w:rPr>
        <w:t>Mono County, Pasadena and Chula Vista prohibited cannabis-infus</w:t>
      </w:r>
      <w:r w:rsidR="00593ACF" w:rsidRPr="001115C5">
        <w:rPr>
          <w:rFonts w:ascii="Helvetica Neue" w:hAnsi="Helvetica Neue" w:cs="Arial"/>
        </w:rPr>
        <w:t xml:space="preserve">ed beverages or “canna-pops.” </w:t>
      </w:r>
      <w:r w:rsidRPr="001115C5">
        <w:rPr>
          <w:rFonts w:ascii="Helvetica Neue" w:hAnsi="Helvetica Neue" w:cs="Arial"/>
        </w:rPr>
        <w:t>Half of jurisdictions allowing cannabis commercial activity instituted taxes, one based on potency (Cathedral City). Jurisdictions also came up with important ideas not included in the first edition. The State of California partially over-rode local control through its regulations, allowing licensed delivery businesses to deliver anywhere in the state, regardless of local bans</w:t>
      </w:r>
      <w:r w:rsidR="00946988">
        <w:rPr>
          <w:rFonts w:ascii="Helvetica Neue" w:hAnsi="Helvetica Neue" w:cs="Arial"/>
        </w:rPr>
        <w:t>, a decision that was reversed in 2020 as a result of litigation</w:t>
      </w:r>
      <w:r w:rsidRPr="001115C5">
        <w:rPr>
          <w:rFonts w:ascii="Helvetica Neue" w:hAnsi="Helvetica Neue" w:cs="Arial"/>
        </w:rPr>
        <w:t xml:space="preserve">. </w:t>
      </w:r>
      <w:r w:rsidR="00946988">
        <w:rPr>
          <w:rFonts w:ascii="Helvetica Neue" w:hAnsi="Helvetica Neue" w:cs="Arial"/>
        </w:rPr>
        <w:t xml:space="preserve">Similarly, an attempt by the state to weaken the prohibition on billboards on highways was also rejected by the courts in 2020. </w:t>
      </w:r>
    </w:p>
    <w:p w14:paraId="5F0447AB" w14:textId="301453E3" w:rsidR="0070520E" w:rsidRPr="001115C5" w:rsidRDefault="0070520E" w:rsidP="002269F8">
      <w:pPr>
        <w:spacing w:after="240"/>
        <w:ind w:firstLine="720"/>
        <w:rPr>
          <w:rFonts w:ascii="Helvetica Neue" w:hAnsi="Helvetica Neue" w:cs="Arial"/>
        </w:rPr>
      </w:pPr>
      <w:r w:rsidRPr="001115C5">
        <w:rPr>
          <w:rFonts w:ascii="Helvetica Neue" w:hAnsi="Helvetica Neue" w:cs="Arial"/>
        </w:rPr>
        <w:t>This Ordinance was developed by the</w:t>
      </w:r>
      <w:r w:rsidRPr="001115C5">
        <w:rPr>
          <w:rFonts w:ascii="Helvetica Neue" w:hAnsi="Helvetica Neue" w:cs="Arial"/>
          <w:i/>
          <w:iCs/>
        </w:rPr>
        <w:t xml:space="preserve"> </w:t>
      </w:r>
      <w:r w:rsidRPr="001115C5">
        <w:rPr>
          <w:rFonts w:ascii="Helvetica Neue" w:hAnsi="Helvetica Neue" w:cs="Arial"/>
          <w:b/>
          <w:bCs/>
          <w:i/>
          <w:iCs/>
        </w:rPr>
        <w:t xml:space="preserve">Public Health Institute’s Getting </w:t>
      </w:r>
      <w:proofErr w:type="gramStart"/>
      <w:r w:rsidRPr="001115C5">
        <w:rPr>
          <w:rFonts w:ascii="Helvetica Neue" w:hAnsi="Helvetica Neue" w:cs="Arial"/>
          <w:b/>
          <w:bCs/>
          <w:i/>
          <w:iCs/>
        </w:rPr>
        <w:t>it</w:t>
      </w:r>
      <w:proofErr w:type="gramEnd"/>
      <w:r w:rsidRPr="001115C5">
        <w:rPr>
          <w:rFonts w:ascii="Helvetica Neue" w:hAnsi="Helvetica Neue" w:cs="Arial"/>
          <w:b/>
          <w:bCs/>
          <w:i/>
          <w:iCs/>
        </w:rPr>
        <w:t xml:space="preserve"> Right from the Start: </w:t>
      </w:r>
      <w:r w:rsidR="001115C5">
        <w:rPr>
          <w:rFonts w:ascii="Helvetica Neue" w:hAnsi="Helvetica Neue" w:cs="Arial"/>
          <w:b/>
          <w:bCs/>
          <w:i/>
          <w:iCs/>
        </w:rPr>
        <w:t>Advancing Public Health &amp; Equity in Cannabis Policy</w:t>
      </w:r>
      <w:r w:rsidRPr="001115C5">
        <w:rPr>
          <w:rFonts w:ascii="Helvetica Neue" w:hAnsi="Helvetica Neue" w:cs="Arial"/>
        </w:rPr>
        <w:t>, to help cities and counties reduce negative health impacts of legalization, protect youth, and promote equity. We hope that this model can help bring public health insights to those efforts and will encourage cross-sectoral collaboration with local public health and mental health experts, as well as those from education, law enforce</w:t>
      </w:r>
      <w:r w:rsidR="000A644E" w:rsidRPr="001115C5">
        <w:rPr>
          <w:rFonts w:ascii="Helvetica Neue" w:hAnsi="Helvetica Neue" w:cs="Arial"/>
        </w:rPr>
        <w:t>ment and other relevant fields.</w:t>
      </w:r>
    </w:p>
    <w:p w14:paraId="423E50A6" w14:textId="72A9E79E" w:rsidR="0070520E" w:rsidRPr="001115C5" w:rsidRDefault="0070520E" w:rsidP="002269F8">
      <w:pPr>
        <w:spacing w:after="240"/>
        <w:ind w:firstLine="720"/>
        <w:rPr>
          <w:rFonts w:ascii="Helvetica Neue" w:hAnsi="Helvetica Neue" w:cs="Arial"/>
        </w:rPr>
      </w:pPr>
      <w:r w:rsidRPr="001115C5">
        <w:rPr>
          <w:rFonts w:ascii="Helvetica Neue" w:hAnsi="Helvetica Neue" w:cs="Arial"/>
        </w:rPr>
        <w:t>Current state law and regulation, based on Proposition 64, provide only weak public health protections and in the absence of strong regulation at the local level, state law allows an exponential expansion of the legal cannabis industry. Fortunately, Proposition 64 allows local governments the freedom to adopt more protective regulations than state law in a number of areas. This model addresses the areas of retail sales and of marketing, which will have the most immediate and largest public health effects. The project has also made available model laws for a local general tax on cannabis, and for a special tax.</w:t>
      </w:r>
      <w:r w:rsidR="00A036B3" w:rsidRPr="001115C5">
        <w:rPr>
          <w:rStyle w:val="FootnoteReference"/>
          <w:rFonts w:ascii="Helvetica Neue" w:hAnsi="Helvetica Neue" w:cs="Arial"/>
        </w:rPr>
        <w:footnoteReference w:id="7"/>
      </w:r>
      <w:r w:rsidRPr="001115C5">
        <w:rPr>
          <w:rFonts w:ascii="Helvetica Neue" w:hAnsi="Helvetica Neue" w:cs="Arial"/>
        </w:rPr>
        <w:t xml:space="preserve"> While issues such as manufacturing quality control and pesticide </w:t>
      </w:r>
      <w:r w:rsidRPr="001115C5">
        <w:rPr>
          <w:rFonts w:ascii="Helvetica Neue" w:hAnsi="Helvetica Neue" w:cs="Arial"/>
        </w:rPr>
        <w:lastRenderedPageBreak/>
        <w:t>residues are important, we are focusing on the large public health effects that will arise from the extent of use post-legalization, which will in turn be guided by the intensity of retailing and marketing and patterns of product diver</w:t>
      </w:r>
      <w:r w:rsidR="000A644E" w:rsidRPr="001115C5">
        <w:rPr>
          <w:rFonts w:ascii="Helvetica Neue" w:hAnsi="Helvetica Neue" w:cs="Arial"/>
        </w:rPr>
        <w:t>sification.</w:t>
      </w:r>
    </w:p>
    <w:p w14:paraId="6BA8CEDD" w14:textId="359B3B66" w:rsidR="0070520E" w:rsidRPr="001115C5" w:rsidRDefault="0070520E" w:rsidP="002269F8">
      <w:pPr>
        <w:spacing w:after="240"/>
        <w:ind w:firstLine="720"/>
        <w:rPr>
          <w:rFonts w:ascii="Helvetica Neue" w:hAnsi="Helvetica Neue" w:cs="Arial"/>
        </w:rPr>
      </w:pPr>
      <w:r w:rsidRPr="001115C5">
        <w:rPr>
          <w:rFonts w:ascii="Helvetica Neue" w:hAnsi="Helvetica Neue" w:cs="Arial"/>
        </w:rPr>
        <w:t>The original model was produced after in-depth interviews with dozens of stakeholders from local jurisdictions, community members, academic and research experts, regulators from other states, legal experts, community coalitions, dispensary owners, laboratory experts, manufacturers, clinicians working with addiction, and others. This model uses best available evidence from the fields of alcohol and tobacco control, the experience of states which legalized earlier than California, the massive scientific review completed in 2017 by the National Academy of Sciences to identify key evidence-based risks of cannabis consumption,</w:t>
      </w:r>
      <w:r w:rsidR="00A036B3" w:rsidRPr="001115C5">
        <w:rPr>
          <w:rStyle w:val="FootnoteReference"/>
          <w:rFonts w:ascii="Helvetica Neue" w:hAnsi="Helvetica Neue" w:cs="Arial"/>
        </w:rPr>
        <w:footnoteReference w:id="8"/>
      </w:r>
      <w:r w:rsidRPr="001115C5">
        <w:rPr>
          <w:rFonts w:ascii="Helvetica Neue" w:hAnsi="Helvetica Neue" w:cs="Arial"/>
        </w:rPr>
        <w:t xml:space="preserve"> the peer-reviewed scientific literature, the recent advisory from the U.S. Surgeon General on Marijuana and the developing brain,</w:t>
      </w:r>
      <w:r w:rsidR="00A61E68" w:rsidRPr="001115C5">
        <w:rPr>
          <w:rStyle w:val="FootnoteReference"/>
          <w:rFonts w:ascii="Helvetica Neue" w:hAnsi="Helvetica Neue" w:cs="Arial"/>
        </w:rPr>
        <w:footnoteReference w:id="9"/>
      </w:r>
      <w:r w:rsidRPr="001115C5">
        <w:rPr>
          <w:rFonts w:ascii="Helvetica Neue" w:hAnsi="Helvetica Neue" w:cs="Arial"/>
        </w:rPr>
        <w:t xml:space="preserve"> and advice received on best practices or needed best practices from experts interviewed. Key challenges identified include the declining popular perception of harm, growing evidence of the existence of clear and significant harms from use to several population groups, the extraordinary incentives present in California to expand consumption given the enormity of our state’s crop and the fact that less than one-fifth is currently consumed in-state, and the challenge of keeping marijuana-related income in low-income communities. We have sought to address these challenges. In the revised ordinance, we have incorporated best practices that have been identified and adopted from our research reviewing the laws of all 539 California cities and counties, and those </w:t>
      </w:r>
      <w:r w:rsidR="00946988">
        <w:rPr>
          <w:rFonts w:ascii="Helvetica Neue" w:hAnsi="Helvetica Neue" w:cs="Arial"/>
        </w:rPr>
        <w:t>in use by</w:t>
      </w:r>
      <w:r w:rsidRPr="001115C5">
        <w:rPr>
          <w:rFonts w:ascii="Helvetica Neue" w:hAnsi="Helvetica Neue" w:cs="Arial"/>
        </w:rPr>
        <w:t xml:space="preserve"> other states and internationally. We have removed certain recommendations now reflec</w:t>
      </w:r>
      <w:r w:rsidR="000A644E" w:rsidRPr="001115C5">
        <w:rPr>
          <w:rFonts w:ascii="Helvetica Neue" w:hAnsi="Helvetica Neue" w:cs="Arial"/>
        </w:rPr>
        <w:t>ted in state law or regulation.</w:t>
      </w:r>
    </w:p>
    <w:p w14:paraId="4614D6F7" w14:textId="77777777" w:rsidR="0070520E" w:rsidRPr="001115C5" w:rsidRDefault="0070520E" w:rsidP="002269F8">
      <w:pPr>
        <w:spacing w:after="240"/>
        <w:ind w:firstLine="720"/>
        <w:rPr>
          <w:rFonts w:ascii="Helvetica Neue" w:hAnsi="Helvetica Neue" w:cs="Arial"/>
        </w:rPr>
      </w:pPr>
      <w:r w:rsidRPr="001115C5">
        <w:rPr>
          <w:rFonts w:ascii="Helvetica Neue" w:hAnsi="Helvetica Neue" w:cs="Arial"/>
        </w:rPr>
        <w:t>Cannabis regulation at the local level has often been led by local officials trained in planning and economic development, with limited experience in public health regulation of a harmful product. Proliferation of a multitude of new forms of cannabis that are potentially more harmful, and new cannabis products that are attractive to youth, should not be permitted. Whatever economic benefit this new legal industry brings should be shared by the communities that have been most</w:t>
      </w:r>
      <w:r w:rsidR="000A644E" w:rsidRPr="001115C5">
        <w:rPr>
          <w:rFonts w:ascii="Helvetica Neue" w:hAnsi="Helvetica Neue" w:cs="Arial"/>
        </w:rPr>
        <w:t xml:space="preserve"> affected by the war on drugs.</w:t>
      </w:r>
    </w:p>
    <w:p w14:paraId="2887A41D" w14:textId="16E2F054" w:rsidR="0070520E" w:rsidRPr="001115C5" w:rsidRDefault="0070520E" w:rsidP="002269F8">
      <w:pPr>
        <w:spacing w:after="240"/>
        <w:ind w:firstLine="720"/>
        <w:rPr>
          <w:rFonts w:ascii="Helvetica Neue" w:hAnsi="Helvetica Neue" w:cs="Arial"/>
        </w:rPr>
      </w:pPr>
      <w:r w:rsidRPr="001115C5">
        <w:rPr>
          <w:rFonts w:ascii="Helvetica Neue" w:hAnsi="Helvetica Neue" w:cs="Arial"/>
        </w:rPr>
        <w:t xml:space="preserve">This model is a broad “menu.” It contains guidance for establishing a basic regulatory structure. It also provides models for specific policies in a number of areas such as density, pricing, allowable and prohibited products, and marketing. In some cases, the model ordinance presents “options” in red. Jurisdictions may choose to adopt all, none, or some of its provisions. Some measures that might be useful from a public health perspective, such as limitations on advertising on electronic media (TV, radio, Internet, etc.), may be difficult or impossible to impose at the local level and are therefore not presented as options here. Because this is a new and evolving area of law, </w:t>
      </w:r>
      <w:r w:rsidRPr="001115C5">
        <w:rPr>
          <w:rFonts w:ascii="Helvetica Neue" w:hAnsi="Helvetica Neue" w:cs="Arial"/>
        </w:rPr>
        <w:lastRenderedPageBreak/>
        <w:t>some of the advertising restrictions or required warnings discussed may be questioned, and, in part as a result of the unique legal situation of cannabis (which remains federally illegal), the outcome of potential challenges is as yet unclear. We have omitted certain regulatory possibilities in this area due to legal complexity for local government and ask that you contact us directly if you wis</w:t>
      </w:r>
      <w:r w:rsidR="000A644E" w:rsidRPr="001115C5">
        <w:rPr>
          <w:rFonts w:ascii="Helvetica Neue" w:hAnsi="Helvetica Neue" w:cs="Arial"/>
        </w:rPr>
        <w:t>h to learn more about options.</w:t>
      </w:r>
    </w:p>
    <w:p w14:paraId="76AFB2F7" w14:textId="77777777" w:rsidR="0070520E" w:rsidRPr="001115C5" w:rsidRDefault="0070520E" w:rsidP="002269F8">
      <w:pPr>
        <w:spacing w:after="240"/>
        <w:ind w:firstLine="720"/>
        <w:rPr>
          <w:rFonts w:ascii="Helvetica Neue" w:hAnsi="Helvetica Neue" w:cs="Arial"/>
        </w:rPr>
      </w:pPr>
      <w:r w:rsidRPr="001115C5">
        <w:rPr>
          <w:rFonts w:ascii="Helvetica Neue" w:hAnsi="Helvetica Neue" w:cs="Arial"/>
        </w:rPr>
        <w:t>You may be told that any protections will only fuel the illegal market. We believe this is not true. The illegal market in our state is driven primarily by vast overproduction, several fold what is consumed in-state, and is primarily exported, although part is consumed in state. Until the incentive for overproduction and illegal export is gone, they are unlikely to disappear. What local governments who wish to legalize can realistically accomplish is to create a safer and legal way for residents who wish to produce or to buy cannabis products to do so legally. The illegal market will eventually diminish, but it won’t be because communities refrain from taxing or adopting appropriate public health protections to cater to industry</w:t>
      </w:r>
      <w:r w:rsidR="000A644E" w:rsidRPr="001115C5">
        <w:rPr>
          <w:rFonts w:ascii="Helvetica Neue" w:hAnsi="Helvetica Neue" w:cs="Arial"/>
        </w:rPr>
        <w:t xml:space="preserve"> preferences or profitability.</w:t>
      </w:r>
    </w:p>
    <w:p w14:paraId="4D71A40B" w14:textId="77777777" w:rsidR="0070520E" w:rsidRPr="001115C5" w:rsidRDefault="0070520E" w:rsidP="002269F8">
      <w:pPr>
        <w:spacing w:after="840"/>
        <w:ind w:firstLine="720"/>
        <w:rPr>
          <w:rFonts w:ascii="Helvetica Neue" w:hAnsi="Helvetica Neue" w:cs="Arial"/>
        </w:rPr>
      </w:pPr>
      <w:r w:rsidRPr="001115C5">
        <w:rPr>
          <w:rFonts w:ascii="Helvetica Neue" w:hAnsi="Helvetica Neue" w:cs="Arial"/>
        </w:rPr>
        <w:t>We are happy to speak with you to discuss the reasoning behind model ordinance provisions, and we welcome your input. This is a living and evolving document that will grow with your local experience and emerging evidence in addressing this new challenge, so regular updating is expected. As occurred in tobacco regulation, we believe that innovation and leadership for best practices will bubble up from our cities and counties across the nation. We look to you to provide that leaders</w:t>
      </w:r>
      <w:r w:rsidR="000A644E" w:rsidRPr="001115C5">
        <w:rPr>
          <w:rFonts w:ascii="Helvetica Neue" w:hAnsi="Helvetica Neue" w:cs="Arial"/>
        </w:rPr>
        <w:t>hip and share your experience.</w:t>
      </w:r>
    </w:p>
    <w:p w14:paraId="1BAF0CA5" w14:textId="77777777" w:rsidR="0070520E" w:rsidRPr="0096308B" w:rsidRDefault="000A644E" w:rsidP="00460493">
      <w:pPr>
        <w:spacing w:after="120"/>
        <w:rPr>
          <w:rFonts w:ascii="Helvetica Neue" w:hAnsi="Helvetica Neue" w:cs="Arial"/>
          <w:b/>
          <w:bCs/>
        </w:rPr>
      </w:pPr>
      <w:r w:rsidRPr="0096308B">
        <w:rPr>
          <w:rFonts w:ascii="Helvetica Neue" w:hAnsi="Helvetica Neue" w:cs="Arial"/>
          <w:b/>
          <w:bCs/>
        </w:rPr>
        <w:t>Note to Readers</w:t>
      </w:r>
    </w:p>
    <w:p w14:paraId="5416878D" w14:textId="77777777" w:rsidR="00A61E68" w:rsidRPr="0096308B" w:rsidRDefault="0070520E" w:rsidP="0070520E">
      <w:pPr>
        <w:spacing w:after="240"/>
        <w:rPr>
          <w:rFonts w:ascii="Helvetica Neue" w:hAnsi="Helvetica Neue" w:cs="Arial"/>
        </w:rPr>
        <w:sectPr w:rsidR="00A61E68" w:rsidRPr="0096308B" w:rsidSect="008E5DFA">
          <w:pgSz w:w="12240" w:h="15840"/>
          <w:pgMar w:top="1440" w:right="1080" w:bottom="1440" w:left="1080" w:header="432" w:footer="432" w:gutter="0"/>
          <w:cols w:space="720"/>
          <w:docGrid w:linePitch="360"/>
        </w:sectPr>
      </w:pPr>
      <w:r w:rsidRPr="0096308B">
        <w:rPr>
          <w:rFonts w:ascii="Helvetica Neue" w:hAnsi="Helvetica Neue" w:cs="Arial"/>
        </w:rPr>
        <w:t>The legal information provided in this model ordinance does not constitute legal advice or legal representation. For legal advice, readers should consult an attorney in their state.</w:t>
      </w:r>
    </w:p>
    <w:p w14:paraId="0059E5B9" w14:textId="77777777" w:rsidR="006157E2" w:rsidRPr="001115C5" w:rsidRDefault="006157E2" w:rsidP="007059B2">
      <w:pPr>
        <w:pStyle w:val="Heading2"/>
        <w:rPr>
          <w:rFonts w:ascii="Helvetica Neue" w:hAnsi="Helvetica Neue"/>
        </w:rPr>
      </w:pPr>
      <w:bookmarkStart w:id="1" w:name="_Toc65578289"/>
      <w:r w:rsidRPr="001115C5">
        <w:rPr>
          <w:rFonts w:ascii="Helvetica Neue" w:hAnsi="Helvetica Neue"/>
        </w:rPr>
        <w:lastRenderedPageBreak/>
        <w:t>California Best Practices Map</w:t>
      </w:r>
      <w:bookmarkEnd w:id="1"/>
    </w:p>
    <w:p w14:paraId="5634D3B3" w14:textId="0A3FAA51" w:rsidR="0096308B" w:rsidRDefault="001466E8" w:rsidP="0096308B">
      <w:pPr>
        <w:spacing w:after="240"/>
        <w:ind w:right="-720"/>
        <w:rPr>
          <w:rFonts w:ascii="Helvetica Neue" w:hAnsi="Helvetica Neue"/>
          <w:b/>
          <w:bCs/>
          <w:color w:val="95B3D7" w:themeColor="accent1" w:themeTint="99"/>
        </w:rPr>
        <w:sectPr w:rsidR="0096308B" w:rsidSect="007059B2">
          <w:pgSz w:w="12240" w:h="15840"/>
          <w:pgMar w:top="720" w:right="1080" w:bottom="1440" w:left="1080" w:header="288" w:footer="432" w:gutter="0"/>
          <w:cols w:space="720"/>
          <w:docGrid w:linePitch="360"/>
        </w:sectPr>
      </w:pPr>
      <w:r w:rsidRPr="0096308B">
        <w:rPr>
          <w:rFonts w:ascii="Montserrat Light" w:eastAsia="Montserrat Light" w:hAnsi="Montserrat Light" w:cs="Montserrat Light"/>
          <w:noProof/>
        </w:rPr>
        <w:drawing>
          <wp:anchor distT="0" distB="0" distL="0" distR="0" simplePos="0" relativeHeight="251685888" behindDoc="1" locked="0" layoutInCell="1" allowOverlap="1" wp14:anchorId="0B7A20FF" wp14:editId="19B99C24">
            <wp:simplePos x="0" y="0"/>
            <wp:positionH relativeFrom="page">
              <wp:posOffset>368011</wp:posOffset>
            </wp:positionH>
            <wp:positionV relativeFrom="paragraph">
              <wp:posOffset>482543</wp:posOffset>
            </wp:positionV>
            <wp:extent cx="5342991" cy="7676382"/>
            <wp:effectExtent l="0" t="0" r="0" b="127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pic:cNvPicPr/>
                  </pic:nvPicPr>
                  <pic:blipFill>
                    <a:blip r:embed="rId15">
                      <a:extLst>
                        <a:ext uri="{28A0092B-C50C-407E-A947-70E740481C1C}">
                          <a14:useLocalDpi xmlns:a14="http://schemas.microsoft.com/office/drawing/2010/main" val="0"/>
                        </a:ext>
                      </a:extLst>
                    </a:blip>
                    <a:stretch>
                      <a:fillRect/>
                    </a:stretch>
                  </pic:blipFill>
                  <pic:spPr>
                    <a:xfrm>
                      <a:off x="0" y="0"/>
                      <a:ext cx="5342991" cy="7676382"/>
                    </a:xfrm>
                    <a:prstGeom prst="rect">
                      <a:avLst/>
                    </a:prstGeom>
                  </pic:spPr>
                </pic:pic>
              </a:graphicData>
            </a:graphic>
          </wp:anchor>
        </w:drawing>
      </w:r>
      <w:r w:rsidR="006157E2" w:rsidRPr="001115C5">
        <w:rPr>
          <w:rFonts w:ascii="Helvetica Neue" w:hAnsi="Helvetica Neue"/>
          <w:b/>
          <w:bCs/>
          <w:color w:val="95B3D7" w:themeColor="accent1" w:themeTint="99"/>
        </w:rPr>
        <w:t>Here are some examples of what your neighbors are doing to protect youth, public health and social equity</w:t>
      </w:r>
    </w:p>
    <w:p w14:paraId="604EF86C" w14:textId="1B6B9BAB" w:rsidR="0096308B" w:rsidRPr="0096308B" w:rsidRDefault="0096308B" w:rsidP="0096308B">
      <w:pPr>
        <w:widowControl w:val="0"/>
        <w:autoSpaceDE w:val="0"/>
        <w:autoSpaceDN w:val="0"/>
        <w:spacing w:before="260" w:line="218" w:lineRule="auto"/>
        <w:ind w:left="4338" w:right="149"/>
        <w:rPr>
          <w:rFonts w:ascii="Montserrat Light" w:eastAsia="Montserrat Light" w:hAnsi="Montserrat Light" w:cs="Montserrat Light"/>
          <w:sz w:val="19"/>
        </w:rPr>
      </w:pPr>
      <w:r w:rsidRPr="0096308B">
        <w:rPr>
          <w:rFonts w:ascii="Montserrat" w:eastAsia="Montserrat Light" w:hAnsi="Montserrat Light" w:cs="Montserrat Light"/>
          <w:b/>
          <w:color w:val="10AA9D"/>
          <w:spacing w:val="4"/>
          <w:w w:val="105"/>
          <w:sz w:val="19"/>
        </w:rPr>
        <w:t xml:space="preserve">Del </w:t>
      </w:r>
      <w:r w:rsidRPr="0096308B">
        <w:rPr>
          <w:rFonts w:ascii="Montserrat" w:eastAsia="Montserrat Light" w:hAnsi="Montserrat Light" w:cs="Montserrat Light"/>
          <w:b/>
          <w:color w:val="10AA9D"/>
          <w:spacing w:val="5"/>
          <w:w w:val="105"/>
          <w:sz w:val="19"/>
        </w:rPr>
        <w:t xml:space="preserve">Norte County: </w:t>
      </w:r>
      <w:r w:rsidRPr="0096308B">
        <w:rPr>
          <w:rFonts w:ascii="Montserrat Light" w:eastAsia="Montserrat Light" w:hAnsi="Montserrat Light" w:cs="Montserrat Light"/>
          <w:color w:val="231F20"/>
          <w:spacing w:val="-3"/>
          <w:w w:val="105"/>
          <w:sz w:val="19"/>
        </w:rPr>
        <w:t xml:space="preserve">Protected youth by increasing </w:t>
      </w:r>
      <w:r w:rsidRPr="0096308B">
        <w:rPr>
          <w:rFonts w:ascii="Montserrat Light" w:eastAsia="Montserrat Light" w:hAnsi="Montserrat Light" w:cs="Montserrat Light"/>
          <w:color w:val="231F20"/>
          <w:w w:val="105"/>
          <w:sz w:val="19"/>
        </w:rPr>
        <w:t xml:space="preserve">the </w:t>
      </w:r>
      <w:r w:rsidRPr="0096308B">
        <w:rPr>
          <w:rFonts w:ascii="Montserrat Light" w:eastAsia="Montserrat Light" w:hAnsi="Montserrat Light" w:cs="Montserrat Light"/>
          <w:color w:val="231F20"/>
          <w:spacing w:val="-3"/>
          <w:w w:val="105"/>
          <w:sz w:val="19"/>
        </w:rPr>
        <w:t>required buffer between</w:t>
      </w:r>
      <w:r w:rsidRPr="0096308B">
        <w:rPr>
          <w:rFonts w:ascii="Montserrat Light" w:eastAsia="Montserrat Light" w:hAnsi="Montserrat Light" w:cs="Montserrat Light"/>
          <w:color w:val="231F20"/>
          <w:spacing w:val="-14"/>
          <w:w w:val="105"/>
          <w:sz w:val="19"/>
        </w:rPr>
        <w:t xml:space="preserve"> </w:t>
      </w:r>
      <w:r w:rsidRPr="0096308B">
        <w:rPr>
          <w:rFonts w:ascii="Montserrat Light" w:eastAsia="Montserrat Light" w:hAnsi="Montserrat Light" w:cs="Montserrat Light"/>
          <w:color w:val="231F20"/>
          <w:spacing w:val="-3"/>
          <w:w w:val="105"/>
          <w:sz w:val="19"/>
        </w:rPr>
        <w:t>retailers</w:t>
      </w:r>
      <w:r w:rsidRPr="0096308B">
        <w:rPr>
          <w:rFonts w:ascii="Montserrat Light" w:eastAsia="Montserrat Light" w:hAnsi="Montserrat Light" w:cs="Montserrat Light"/>
          <w:color w:val="231F20"/>
          <w:spacing w:val="-14"/>
          <w:w w:val="105"/>
          <w:sz w:val="19"/>
        </w:rPr>
        <w:t xml:space="preserve"> </w:t>
      </w:r>
      <w:r w:rsidRPr="0096308B">
        <w:rPr>
          <w:rFonts w:ascii="Montserrat Light" w:eastAsia="Montserrat Light" w:hAnsi="Montserrat Light" w:cs="Montserrat Light"/>
          <w:color w:val="231F20"/>
          <w:w w:val="105"/>
          <w:sz w:val="19"/>
        </w:rPr>
        <w:t>and</w:t>
      </w:r>
      <w:r w:rsidRPr="0096308B">
        <w:rPr>
          <w:rFonts w:ascii="Montserrat Light" w:eastAsia="Montserrat Light" w:hAnsi="Montserrat Light" w:cs="Montserrat Light"/>
          <w:color w:val="231F20"/>
          <w:spacing w:val="-14"/>
          <w:w w:val="105"/>
          <w:sz w:val="19"/>
        </w:rPr>
        <w:t xml:space="preserve"> </w:t>
      </w:r>
      <w:r w:rsidRPr="0096308B">
        <w:rPr>
          <w:rFonts w:ascii="Montserrat Light" w:eastAsia="Montserrat Light" w:hAnsi="Montserrat Light" w:cs="Montserrat Light"/>
          <w:color w:val="231F20"/>
          <w:w w:val="105"/>
          <w:sz w:val="19"/>
        </w:rPr>
        <w:t>schools</w:t>
      </w:r>
      <w:r w:rsidRPr="0096308B">
        <w:rPr>
          <w:rFonts w:ascii="Montserrat Light" w:eastAsia="Montserrat Light" w:hAnsi="Montserrat Light" w:cs="Montserrat Light"/>
          <w:color w:val="231F20"/>
          <w:spacing w:val="-14"/>
          <w:w w:val="105"/>
          <w:sz w:val="19"/>
        </w:rPr>
        <w:t xml:space="preserve"> </w:t>
      </w:r>
      <w:r w:rsidRPr="0096308B">
        <w:rPr>
          <w:rFonts w:ascii="Montserrat Light" w:eastAsia="Montserrat Light" w:hAnsi="Montserrat Light" w:cs="Montserrat Light"/>
          <w:color w:val="231F20"/>
          <w:spacing w:val="-3"/>
          <w:w w:val="105"/>
          <w:sz w:val="19"/>
        </w:rPr>
        <w:t>to</w:t>
      </w:r>
      <w:r w:rsidRPr="0096308B">
        <w:rPr>
          <w:rFonts w:ascii="Montserrat Light" w:eastAsia="Montserrat Light" w:hAnsi="Montserrat Light" w:cs="Montserrat Light"/>
          <w:color w:val="231F20"/>
          <w:spacing w:val="-14"/>
          <w:w w:val="105"/>
          <w:sz w:val="19"/>
        </w:rPr>
        <w:t xml:space="preserve"> </w:t>
      </w:r>
      <w:r w:rsidRPr="0096308B">
        <w:rPr>
          <w:rFonts w:ascii="Montserrat Light" w:eastAsia="Montserrat Light" w:hAnsi="Montserrat Light" w:cs="Montserrat Light"/>
          <w:color w:val="231F20"/>
          <w:spacing w:val="-3"/>
          <w:w w:val="105"/>
          <w:sz w:val="19"/>
        </w:rPr>
        <w:t>1,000</w:t>
      </w:r>
      <w:r w:rsidRPr="0096308B">
        <w:rPr>
          <w:rFonts w:ascii="Montserrat Light" w:eastAsia="Montserrat Light" w:hAnsi="Montserrat Light" w:cs="Montserrat Light"/>
          <w:color w:val="231F20"/>
          <w:spacing w:val="-14"/>
          <w:w w:val="105"/>
          <w:sz w:val="19"/>
        </w:rPr>
        <w:t xml:space="preserve"> </w:t>
      </w:r>
      <w:r w:rsidRPr="0096308B">
        <w:rPr>
          <w:rFonts w:ascii="Montserrat Light" w:eastAsia="Montserrat Light" w:hAnsi="Montserrat Light" w:cs="Montserrat Light"/>
          <w:color w:val="231F20"/>
          <w:w w:val="105"/>
          <w:sz w:val="19"/>
        </w:rPr>
        <w:t>ft.</w:t>
      </w:r>
      <w:r w:rsidRPr="0096308B">
        <w:rPr>
          <w:rFonts w:ascii="Montserrat Light" w:eastAsia="Montserrat Light" w:hAnsi="Montserrat Light" w:cs="Montserrat Light"/>
          <w:color w:val="231F20"/>
          <w:spacing w:val="-13"/>
          <w:w w:val="105"/>
          <w:sz w:val="19"/>
        </w:rPr>
        <w:t xml:space="preserve"> </w:t>
      </w:r>
      <w:r w:rsidRPr="0096308B">
        <w:rPr>
          <w:rFonts w:ascii="Montserrat Light" w:eastAsia="Montserrat Light" w:hAnsi="Montserrat Light" w:cs="Montserrat Light"/>
          <w:color w:val="231F20"/>
          <w:w w:val="105"/>
          <w:sz w:val="19"/>
        </w:rPr>
        <w:t>(along</w:t>
      </w:r>
      <w:r w:rsidRPr="0096308B">
        <w:rPr>
          <w:rFonts w:ascii="Montserrat Light" w:eastAsia="Montserrat Light" w:hAnsi="Montserrat Light" w:cs="Montserrat Light"/>
          <w:color w:val="231F20"/>
          <w:spacing w:val="-14"/>
          <w:w w:val="105"/>
          <w:sz w:val="19"/>
        </w:rPr>
        <w:t xml:space="preserve"> </w:t>
      </w:r>
      <w:r w:rsidRPr="0096308B">
        <w:rPr>
          <w:rFonts w:ascii="Montserrat Light" w:eastAsia="Montserrat Light" w:hAnsi="Montserrat Light" w:cs="Montserrat Light"/>
          <w:color w:val="231F20"/>
          <w:w w:val="105"/>
          <w:sz w:val="19"/>
        </w:rPr>
        <w:t>with</w:t>
      </w:r>
      <w:r w:rsidRPr="0096308B">
        <w:rPr>
          <w:rFonts w:ascii="Montserrat Light" w:eastAsia="Montserrat Light" w:hAnsi="Montserrat Light" w:cs="Montserrat Light"/>
          <w:color w:val="231F20"/>
          <w:spacing w:val="-14"/>
          <w:w w:val="105"/>
          <w:sz w:val="19"/>
        </w:rPr>
        <w:t xml:space="preserve"> </w:t>
      </w:r>
      <w:r w:rsidRPr="0096308B">
        <w:rPr>
          <w:rFonts w:ascii="Montserrat Light" w:eastAsia="Montserrat Light" w:hAnsi="Montserrat Light" w:cs="Montserrat Light"/>
          <w:color w:val="231F20"/>
          <w:w w:val="105"/>
          <w:sz w:val="19"/>
        </w:rPr>
        <w:t>36</w:t>
      </w:r>
      <w:r w:rsidRPr="0096308B">
        <w:rPr>
          <w:rFonts w:ascii="Montserrat Light" w:eastAsia="Montserrat Light" w:hAnsi="Montserrat Light" w:cs="Montserrat Light"/>
          <w:color w:val="231F20"/>
          <w:spacing w:val="-14"/>
          <w:w w:val="105"/>
          <w:sz w:val="19"/>
        </w:rPr>
        <w:t xml:space="preserve"> </w:t>
      </w:r>
      <w:r w:rsidRPr="0096308B">
        <w:rPr>
          <w:rFonts w:ascii="Montserrat Light" w:eastAsia="Montserrat Light" w:hAnsi="Montserrat Light" w:cs="Montserrat Light"/>
          <w:color w:val="231F20"/>
          <w:w w:val="105"/>
          <w:sz w:val="19"/>
        </w:rPr>
        <w:t>other</w:t>
      </w:r>
      <w:r w:rsidRPr="0096308B">
        <w:rPr>
          <w:rFonts w:ascii="Montserrat Light" w:eastAsia="Montserrat Light" w:hAnsi="Montserrat Light" w:cs="Montserrat Light"/>
          <w:color w:val="231F20"/>
          <w:spacing w:val="-14"/>
          <w:w w:val="105"/>
          <w:sz w:val="19"/>
        </w:rPr>
        <w:t xml:space="preserve"> </w:t>
      </w:r>
      <w:r w:rsidRPr="0096308B">
        <w:rPr>
          <w:rFonts w:ascii="Montserrat Light" w:eastAsia="Montserrat Light" w:hAnsi="Montserrat Light" w:cs="Montserrat Light"/>
          <w:color w:val="231F20"/>
          <w:w w:val="105"/>
          <w:sz w:val="19"/>
        </w:rPr>
        <w:t>jurisdictions)</w:t>
      </w:r>
    </w:p>
    <w:p w14:paraId="509D384D" w14:textId="77777777" w:rsidR="0096308B" w:rsidRPr="0096308B" w:rsidRDefault="0096308B" w:rsidP="0096308B">
      <w:pPr>
        <w:widowControl w:val="0"/>
        <w:autoSpaceDE w:val="0"/>
        <w:autoSpaceDN w:val="0"/>
        <w:spacing w:before="218" w:line="218" w:lineRule="auto"/>
        <w:ind w:left="4339" w:right="296" w:hanging="1"/>
        <w:rPr>
          <w:rFonts w:ascii="Montserrat Light" w:eastAsia="Montserrat Light" w:hAnsi="Montserrat Light" w:cs="Montserrat Light"/>
          <w:sz w:val="19"/>
        </w:rPr>
      </w:pPr>
      <w:r w:rsidRPr="0096308B">
        <w:rPr>
          <w:rFonts w:ascii="Montserrat" w:eastAsia="Montserrat Light" w:hAnsi="Montserrat Light" w:cs="Montserrat Light"/>
          <w:b/>
          <w:color w:val="10AA9D"/>
          <w:spacing w:val="3"/>
          <w:w w:val="105"/>
          <w:sz w:val="19"/>
        </w:rPr>
        <w:t xml:space="preserve">Weed: </w:t>
      </w:r>
      <w:r w:rsidRPr="0096308B">
        <w:rPr>
          <w:rFonts w:ascii="Montserrat Light" w:eastAsia="Montserrat Light" w:hAnsi="Montserrat Light" w:cs="Montserrat Light"/>
          <w:color w:val="231F20"/>
          <w:w w:val="105"/>
          <w:sz w:val="19"/>
        </w:rPr>
        <w:t>Protected the public and workers against secondhand smoke by</w:t>
      </w:r>
      <w:r w:rsidRPr="0096308B">
        <w:rPr>
          <w:rFonts w:ascii="Montserrat Light" w:eastAsia="Montserrat Light" w:hAnsi="Montserrat Light" w:cs="Montserrat Light"/>
          <w:color w:val="231F20"/>
          <w:spacing w:val="-9"/>
          <w:w w:val="105"/>
          <w:sz w:val="19"/>
        </w:rPr>
        <w:t xml:space="preserve"> </w:t>
      </w:r>
      <w:r w:rsidRPr="0096308B">
        <w:rPr>
          <w:rFonts w:ascii="Montserrat Light" w:eastAsia="Montserrat Light" w:hAnsi="Montserrat Light" w:cs="Montserrat Light"/>
          <w:color w:val="231F20"/>
          <w:w w:val="105"/>
          <w:sz w:val="19"/>
        </w:rPr>
        <w:t>prohibiting</w:t>
      </w:r>
      <w:r w:rsidRPr="0096308B">
        <w:rPr>
          <w:rFonts w:ascii="Montserrat Light" w:eastAsia="Montserrat Light" w:hAnsi="Montserrat Light" w:cs="Montserrat Light"/>
          <w:color w:val="231F20"/>
          <w:spacing w:val="-9"/>
          <w:w w:val="105"/>
          <w:sz w:val="19"/>
        </w:rPr>
        <w:t xml:space="preserve"> </w:t>
      </w:r>
      <w:r w:rsidRPr="0096308B">
        <w:rPr>
          <w:rFonts w:ascii="Montserrat Light" w:eastAsia="Montserrat Light" w:hAnsi="Montserrat Light" w:cs="Montserrat Light"/>
          <w:color w:val="231F20"/>
          <w:w w:val="105"/>
          <w:sz w:val="19"/>
        </w:rPr>
        <w:t>on-site</w:t>
      </w:r>
      <w:r w:rsidRPr="0096308B">
        <w:rPr>
          <w:rFonts w:ascii="Montserrat Light" w:eastAsia="Montserrat Light" w:hAnsi="Montserrat Light" w:cs="Montserrat Light"/>
          <w:color w:val="231F20"/>
          <w:spacing w:val="-9"/>
          <w:w w:val="105"/>
          <w:sz w:val="19"/>
        </w:rPr>
        <w:t xml:space="preserve"> </w:t>
      </w:r>
      <w:r w:rsidRPr="0096308B">
        <w:rPr>
          <w:rFonts w:ascii="Montserrat Light" w:eastAsia="Montserrat Light" w:hAnsi="Montserrat Light" w:cs="Montserrat Light"/>
          <w:color w:val="231F20"/>
          <w:w w:val="105"/>
          <w:sz w:val="19"/>
        </w:rPr>
        <w:t>consumption</w:t>
      </w:r>
      <w:r w:rsidRPr="0096308B">
        <w:rPr>
          <w:rFonts w:ascii="Montserrat Light" w:eastAsia="Montserrat Light" w:hAnsi="Montserrat Light" w:cs="Montserrat Light"/>
          <w:color w:val="231F20"/>
          <w:spacing w:val="-9"/>
          <w:w w:val="105"/>
          <w:sz w:val="19"/>
        </w:rPr>
        <w:t xml:space="preserve"> </w:t>
      </w:r>
      <w:r w:rsidRPr="0096308B">
        <w:rPr>
          <w:rFonts w:ascii="Montserrat Light" w:eastAsia="Montserrat Light" w:hAnsi="Montserrat Light" w:cs="Montserrat Light"/>
          <w:color w:val="231F20"/>
          <w:w w:val="105"/>
          <w:sz w:val="19"/>
        </w:rPr>
        <w:t>(along</w:t>
      </w:r>
      <w:r w:rsidRPr="0096308B">
        <w:rPr>
          <w:rFonts w:ascii="Montserrat Light" w:eastAsia="Montserrat Light" w:hAnsi="Montserrat Light" w:cs="Montserrat Light"/>
          <w:color w:val="231F20"/>
          <w:spacing w:val="-9"/>
          <w:w w:val="105"/>
          <w:sz w:val="19"/>
        </w:rPr>
        <w:t xml:space="preserve"> </w:t>
      </w:r>
      <w:r w:rsidRPr="0096308B">
        <w:rPr>
          <w:rFonts w:ascii="Montserrat Light" w:eastAsia="Montserrat Light" w:hAnsi="Montserrat Light" w:cs="Montserrat Light"/>
          <w:color w:val="231F20"/>
          <w:w w:val="105"/>
          <w:sz w:val="19"/>
        </w:rPr>
        <w:t>with</w:t>
      </w:r>
      <w:r w:rsidRPr="0096308B">
        <w:rPr>
          <w:rFonts w:ascii="Montserrat Light" w:eastAsia="Montserrat Light" w:hAnsi="Montserrat Light" w:cs="Montserrat Light"/>
          <w:color w:val="231F20"/>
          <w:spacing w:val="-9"/>
          <w:w w:val="105"/>
          <w:sz w:val="19"/>
        </w:rPr>
        <w:t xml:space="preserve"> </w:t>
      </w:r>
      <w:r w:rsidRPr="0096308B">
        <w:rPr>
          <w:rFonts w:ascii="Montserrat Light" w:eastAsia="Montserrat Light" w:hAnsi="Montserrat Light" w:cs="Montserrat Light"/>
          <w:color w:val="231F20"/>
          <w:w w:val="105"/>
          <w:sz w:val="19"/>
        </w:rPr>
        <w:t>119</w:t>
      </w:r>
      <w:r w:rsidRPr="0096308B">
        <w:rPr>
          <w:rFonts w:ascii="Montserrat Light" w:eastAsia="Montserrat Light" w:hAnsi="Montserrat Light" w:cs="Montserrat Light"/>
          <w:color w:val="231F20"/>
          <w:spacing w:val="-9"/>
          <w:w w:val="105"/>
          <w:sz w:val="19"/>
        </w:rPr>
        <w:t xml:space="preserve"> </w:t>
      </w:r>
      <w:r w:rsidRPr="0096308B">
        <w:rPr>
          <w:rFonts w:ascii="Montserrat Light" w:eastAsia="Montserrat Light" w:hAnsi="Montserrat Light" w:cs="Montserrat Light"/>
          <w:color w:val="231F20"/>
          <w:w w:val="105"/>
          <w:sz w:val="19"/>
        </w:rPr>
        <w:t>other</w:t>
      </w:r>
      <w:r w:rsidRPr="0096308B">
        <w:rPr>
          <w:rFonts w:ascii="Montserrat Light" w:eastAsia="Montserrat Light" w:hAnsi="Montserrat Light" w:cs="Montserrat Light"/>
          <w:color w:val="231F20"/>
          <w:spacing w:val="-9"/>
          <w:w w:val="105"/>
          <w:sz w:val="19"/>
        </w:rPr>
        <w:t xml:space="preserve"> </w:t>
      </w:r>
      <w:r w:rsidRPr="0096308B">
        <w:rPr>
          <w:rFonts w:ascii="Montserrat Light" w:eastAsia="Montserrat Light" w:hAnsi="Montserrat Light" w:cs="Montserrat Light"/>
          <w:color w:val="231F20"/>
          <w:w w:val="105"/>
          <w:sz w:val="19"/>
        </w:rPr>
        <w:t>places</w:t>
      </w:r>
      <w:r w:rsidRPr="0096308B">
        <w:rPr>
          <w:rFonts w:ascii="Montserrat Light" w:eastAsia="Montserrat Light" w:hAnsi="Montserrat Light" w:cs="Montserrat Light"/>
          <w:color w:val="231F20"/>
          <w:spacing w:val="-8"/>
          <w:w w:val="105"/>
          <w:sz w:val="19"/>
        </w:rPr>
        <w:t xml:space="preserve"> </w:t>
      </w:r>
      <w:r w:rsidRPr="0096308B">
        <w:rPr>
          <w:rFonts w:ascii="Montserrat Light" w:eastAsia="Montserrat Light" w:hAnsi="Montserrat Light" w:cs="Montserrat Light"/>
          <w:color w:val="231F20"/>
          <w:w w:val="105"/>
          <w:sz w:val="19"/>
        </w:rPr>
        <w:t>such</w:t>
      </w:r>
      <w:r w:rsidRPr="0096308B">
        <w:rPr>
          <w:rFonts w:ascii="Montserrat Light" w:eastAsia="Montserrat Light" w:hAnsi="Montserrat Light" w:cs="Montserrat Light"/>
          <w:color w:val="231F20"/>
          <w:spacing w:val="-9"/>
          <w:w w:val="105"/>
          <w:sz w:val="19"/>
        </w:rPr>
        <w:t xml:space="preserve"> </w:t>
      </w:r>
      <w:r w:rsidRPr="0096308B">
        <w:rPr>
          <w:rFonts w:ascii="Montserrat Light" w:eastAsia="Montserrat Light" w:hAnsi="Montserrat Light" w:cs="Montserrat Light"/>
          <w:color w:val="231F20"/>
          <w:w w:val="105"/>
          <w:sz w:val="19"/>
        </w:rPr>
        <w:t>as Merced,</w:t>
      </w:r>
      <w:r w:rsidRPr="0096308B">
        <w:rPr>
          <w:rFonts w:ascii="Montserrat Light" w:eastAsia="Montserrat Light" w:hAnsi="Montserrat Light" w:cs="Montserrat Light"/>
          <w:color w:val="231F20"/>
          <w:spacing w:val="-13"/>
          <w:w w:val="105"/>
          <w:sz w:val="19"/>
        </w:rPr>
        <w:t xml:space="preserve"> </w:t>
      </w:r>
      <w:r w:rsidRPr="0096308B">
        <w:rPr>
          <w:rFonts w:ascii="Montserrat Light" w:eastAsia="Montserrat Light" w:hAnsi="Montserrat Light" w:cs="Montserrat Light"/>
          <w:color w:val="231F20"/>
          <w:w w:val="105"/>
          <w:sz w:val="19"/>
        </w:rPr>
        <w:t>Los</w:t>
      </w:r>
      <w:r w:rsidRPr="0096308B">
        <w:rPr>
          <w:rFonts w:ascii="Montserrat Light" w:eastAsia="Montserrat Light" w:hAnsi="Montserrat Light" w:cs="Montserrat Light"/>
          <w:color w:val="231F20"/>
          <w:spacing w:val="-13"/>
          <w:w w:val="105"/>
          <w:sz w:val="19"/>
        </w:rPr>
        <w:t xml:space="preserve"> </w:t>
      </w:r>
      <w:r w:rsidRPr="0096308B">
        <w:rPr>
          <w:rFonts w:ascii="Montserrat Light" w:eastAsia="Montserrat Light" w:hAnsi="Montserrat Light" w:cs="Montserrat Light"/>
          <w:color w:val="231F20"/>
          <w:w w:val="105"/>
          <w:sz w:val="19"/>
        </w:rPr>
        <w:t>Angeles</w:t>
      </w:r>
      <w:r w:rsidRPr="0096308B">
        <w:rPr>
          <w:rFonts w:ascii="Montserrat Light" w:eastAsia="Montserrat Light" w:hAnsi="Montserrat Light" w:cs="Montserrat Light"/>
          <w:color w:val="231F20"/>
          <w:spacing w:val="-12"/>
          <w:w w:val="105"/>
          <w:sz w:val="19"/>
        </w:rPr>
        <w:t xml:space="preserve"> </w:t>
      </w:r>
      <w:r w:rsidRPr="0096308B">
        <w:rPr>
          <w:rFonts w:ascii="Montserrat Light" w:eastAsia="Montserrat Light" w:hAnsi="Montserrat Light" w:cs="Montserrat Light"/>
          <w:color w:val="231F20"/>
          <w:w w:val="105"/>
          <w:sz w:val="19"/>
        </w:rPr>
        <w:t>City,</w:t>
      </w:r>
      <w:r w:rsidRPr="0096308B">
        <w:rPr>
          <w:rFonts w:ascii="Montserrat Light" w:eastAsia="Montserrat Light" w:hAnsi="Montserrat Light" w:cs="Montserrat Light"/>
          <w:color w:val="231F20"/>
          <w:spacing w:val="-13"/>
          <w:w w:val="105"/>
          <w:sz w:val="19"/>
        </w:rPr>
        <w:t xml:space="preserve"> </w:t>
      </w:r>
      <w:r w:rsidRPr="0096308B">
        <w:rPr>
          <w:rFonts w:ascii="Montserrat Light" w:eastAsia="Montserrat Light" w:hAnsi="Montserrat Light" w:cs="Montserrat Light"/>
          <w:color w:val="231F20"/>
          <w:w w:val="105"/>
          <w:sz w:val="19"/>
        </w:rPr>
        <w:t>Pasadena,</w:t>
      </w:r>
      <w:r w:rsidRPr="0096308B">
        <w:rPr>
          <w:rFonts w:ascii="Montserrat Light" w:eastAsia="Montserrat Light" w:hAnsi="Montserrat Light" w:cs="Montserrat Light"/>
          <w:color w:val="231F20"/>
          <w:spacing w:val="-12"/>
          <w:w w:val="105"/>
          <w:sz w:val="19"/>
        </w:rPr>
        <w:t xml:space="preserve"> </w:t>
      </w:r>
      <w:r w:rsidRPr="0096308B">
        <w:rPr>
          <w:rFonts w:ascii="Montserrat Light" w:eastAsia="Montserrat Light" w:hAnsi="Montserrat Light" w:cs="Montserrat Light"/>
          <w:color w:val="231F20"/>
          <w:w w:val="105"/>
          <w:sz w:val="19"/>
        </w:rPr>
        <w:t>Sacramento</w:t>
      </w:r>
      <w:r w:rsidRPr="0096308B">
        <w:rPr>
          <w:rFonts w:ascii="Montserrat Light" w:eastAsia="Montserrat Light" w:hAnsi="Montserrat Light" w:cs="Montserrat Light"/>
          <w:color w:val="231F20"/>
          <w:spacing w:val="-13"/>
          <w:w w:val="105"/>
          <w:sz w:val="19"/>
        </w:rPr>
        <w:t xml:space="preserve"> </w:t>
      </w:r>
      <w:r w:rsidRPr="0096308B">
        <w:rPr>
          <w:rFonts w:ascii="Montserrat Light" w:eastAsia="Montserrat Light" w:hAnsi="Montserrat Light" w:cs="Montserrat Light"/>
          <w:color w:val="231F20"/>
          <w:w w:val="105"/>
          <w:sz w:val="19"/>
        </w:rPr>
        <w:t>and</w:t>
      </w:r>
      <w:r w:rsidRPr="0096308B">
        <w:rPr>
          <w:rFonts w:ascii="Montserrat Light" w:eastAsia="Montserrat Light" w:hAnsi="Montserrat Light" w:cs="Montserrat Light"/>
          <w:color w:val="231F20"/>
          <w:spacing w:val="-12"/>
          <w:w w:val="105"/>
          <w:sz w:val="19"/>
        </w:rPr>
        <w:t xml:space="preserve"> </w:t>
      </w:r>
      <w:r w:rsidRPr="0096308B">
        <w:rPr>
          <w:rFonts w:ascii="Montserrat Light" w:eastAsia="Montserrat Light" w:hAnsi="Montserrat Light" w:cs="Montserrat Light"/>
          <w:color w:val="231F20"/>
          <w:w w:val="105"/>
          <w:sz w:val="19"/>
        </w:rPr>
        <w:t>Mammoth</w:t>
      </w:r>
      <w:r w:rsidRPr="0096308B">
        <w:rPr>
          <w:rFonts w:ascii="Montserrat Light" w:eastAsia="Montserrat Light" w:hAnsi="Montserrat Light" w:cs="Montserrat Light"/>
          <w:color w:val="231F20"/>
          <w:spacing w:val="-13"/>
          <w:w w:val="105"/>
          <w:sz w:val="19"/>
        </w:rPr>
        <w:t xml:space="preserve"> </w:t>
      </w:r>
      <w:r w:rsidRPr="0096308B">
        <w:rPr>
          <w:rFonts w:ascii="Montserrat Light" w:eastAsia="Montserrat Light" w:hAnsi="Montserrat Light" w:cs="Montserrat Light"/>
          <w:color w:val="231F20"/>
          <w:w w:val="105"/>
          <w:sz w:val="19"/>
        </w:rPr>
        <w:t>Lakes)</w:t>
      </w:r>
    </w:p>
    <w:p w14:paraId="3A85BF7C" w14:textId="77777777" w:rsidR="0096308B" w:rsidRPr="0096308B" w:rsidRDefault="0096308B" w:rsidP="0096308B">
      <w:pPr>
        <w:widowControl w:val="0"/>
        <w:autoSpaceDE w:val="0"/>
        <w:autoSpaceDN w:val="0"/>
        <w:spacing w:before="168" w:line="218" w:lineRule="auto"/>
        <w:ind w:left="4339" w:right="109" w:hanging="1"/>
        <w:rPr>
          <w:rFonts w:ascii="Montserrat Light" w:eastAsia="Montserrat Light" w:hAnsi="Montserrat Light" w:cs="Montserrat Light"/>
          <w:sz w:val="19"/>
        </w:rPr>
      </w:pPr>
      <w:r w:rsidRPr="0096308B">
        <w:rPr>
          <w:rFonts w:ascii="Montserrat" w:eastAsia="Montserrat Light" w:hAnsi="Montserrat Light" w:cs="Montserrat Light"/>
          <w:b/>
          <w:color w:val="10AA9D"/>
          <w:spacing w:val="6"/>
          <w:w w:val="105"/>
          <w:sz w:val="19"/>
        </w:rPr>
        <w:t>Sacramento:</w:t>
      </w:r>
      <w:r w:rsidRPr="0096308B">
        <w:rPr>
          <w:rFonts w:ascii="Montserrat" w:eastAsia="Montserrat Light" w:hAnsi="Montserrat Light" w:cs="Montserrat Light"/>
          <w:b/>
          <w:color w:val="10AA9D"/>
          <w:w w:val="105"/>
          <w:sz w:val="19"/>
        </w:rPr>
        <w:t xml:space="preserve"> </w:t>
      </w:r>
      <w:r w:rsidRPr="0096308B">
        <w:rPr>
          <w:rFonts w:ascii="Montserrat Light" w:eastAsia="Montserrat Light" w:hAnsi="Montserrat Light" w:cs="Montserrat Light"/>
          <w:color w:val="231F20"/>
          <w:spacing w:val="-6"/>
          <w:w w:val="105"/>
          <w:sz w:val="19"/>
        </w:rPr>
        <w:t>Promoted</w:t>
      </w:r>
      <w:r w:rsidRPr="0096308B">
        <w:rPr>
          <w:rFonts w:ascii="Montserrat Light" w:eastAsia="Montserrat Light" w:hAnsi="Montserrat Light" w:cs="Montserrat Light"/>
          <w:color w:val="231F20"/>
          <w:spacing w:val="-16"/>
          <w:w w:val="105"/>
          <w:sz w:val="19"/>
        </w:rPr>
        <w:t xml:space="preserve"> </w:t>
      </w:r>
      <w:r w:rsidRPr="0096308B">
        <w:rPr>
          <w:rFonts w:ascii="Montserrat Light" w:eastAsia="Montserrat Light" w:hAnsi="Montserrat Light" w:cs="Montserrat Light"/>
          <w:color w:val="231F20"/>
          <w:spacing w:val="-4"/>
          <w:w w:val="105"/>
          <w:sz w:val="19"/>
        </w:rPr>
        <w:t>social</w:t>
      </w:r>
      <w:r w:rsidRPr="0096308B">
        <w:rPr>
          <w:rFonts w:ascii="Montserrat Light" w:eastAsia="Montserrat Light" w:hAnsi="Montserrat Light" w:cs="Montserrat Light"/>
          <w:color w:val="231F20"/>
          <w:spacing w:val="-17"/>
          <w:w w:val="105"/>
          <w:sz w:val="19"/>
        </w:rPr>
        <w:t xml:space="preserve"> </w:t>
      </w:r>
      <w:r w:rsidRPr="0096308B">
        <w:rPr>
          <w:rFonts w:ascii="Montserrat Light" w:eastAsia="Montserrat Light" w:hAnsi="Montserrat Light" w:cs="Montserrat Light"/>
          <w:color w:val="231F20"/>
          <w:spacing w:val="-4"/>
          <w:w w:val="105"/>
          <w:sz w:val="19"/>
        </w:rPr>
        <w:t>equity</w:t>
      </w:r>
      <w:r w:rsidRPr="0096308B">
        <w:rPr>
          <w:rFonts w:ascii="Montserrat Light" w:eastAsia="Montserrat Light" w:hAnsi="Montserrat Light" w:cs="Montserrat Light"/>
          <w:color w:val="231F20"/>
          <w:spacing w:val="-16"/>
          <w:w w:val="105"/>
          <w:sz w:val="19"/>
        </w:rPr>
        <w:t xml:space="preserve"> </w:t>
      </w:r>
      <w:r w:rsidRPr="0096308B">
        <w:rPr>
          <w:rFonts w:ascii="Montserrat Light" w:eastAsia="Montserrat Light" w:hAnsi="Montserrat Light" w:cs="Montserrat Light"/>
          <w:color w:val="231F20"/>
          <w:spacing w:val="-4"/>
          <w:w w:val="105"/>
          <w:sz w:val="19"/>
        </w:rPr>
        <w:t>through</w:t>
      </w:r>
      <w:r w:rsidRPr="0096308B">
        <w:rPr>
          <w:rFonts w:ascii="Montserrat Light" w:eastAsia="Montserrat Light" w:hAnsi="Montserrat Light" w:cs="Montserrat Light"/>
          <w:color w:val="231F20"/>
          <w:spacing w:val="-16"/>
          <w:w w:val="105"/>
          <w:sz w:val="19"/>
        </w:rPr>
        <w:t xml:space="preserve"> </w:t>
      </w:r>
      <w:r w:rsidRPr="0096308B">
        <w:rPr>
          <w:rFonts w:ascii="Montserrat Light" w:eastAsia="Montserrat Light" w:hAnsi="Montserrat Light" w:cs="Montserrat Light"/>
          <w:color w:val="231F20"/>
          <w:spacing w:val="-4"/>
          <w:w w:val="105"/>
          <w:sz w:val="19"/>
        </w:rPr>
        <w:t>equity</w:t>
      </w:r>
      <w:r w:rsidRPr="0096308B">
        <w:rPr>
          <w:rFonts w:ascii="Montserrat Light" w:eastAsia="Montserrat Light" w:hAnsi="Montserrat Light" w:cs="Montserrat Light"/>
          <w:color w:val="231F20"/>
          <w:spacing w:val="-17"/>
          <w:w w:val="105"/>
          <w:sz w:val="19"/>
        </w:rPr>
        <w:t xml:space="preserve"> </w:t>
      </w:r>
      <w:r w:rsidRPr="0096308B">
        <w:rPr>
          <w:rFonts w:ascii="Montserrat Light" w:eastAsia="Montserrat Light" w:hAnsi="Montserrat Light" w:cs="Montserrat Light"/>
          <w:color w:val="231F20"/>
          <w:w w:val="105"/>
          <w:sz w:val="19"/>
        </w:rPr>
        <w:t>in</w:t>
      </w:r>
      <w:r w:rsidRPr="0096308B">
        <w:rPr>
          <w:rFonts w:ascii="Montserrat Light" w:eastAsia="Montserrat Light" w:hAnsi="Montserrat Light" w:cs="Montserrat Light"/>
          <w:color w:val="231F20"/>
          <w:spacing w:val="-16"/>
          <w:w w:val="105"/>
          <w:sz w:val="19"/>
        </w:rPr>
        <w:t xml:space="preserve"> </w:t>
      </w:r>
      <w:r w:rsidRPr="0096308B">
        <w:rPr>
          <w:rFonts w:ascii="Montserrat Light" w:eastAsia="Montserrat Light" w:hAnsi="Montserrat Light" w:cs="Montserrat Light"/>
          <w:color w:val="231F20"/>
          <w:spacing w:val="-4"/>
          <w:w w:val="105"/>
          <w:sz w:val="19"/>
        </w:rPr>
        <w:t>licensing</w:t>
      </w:r>
      <w:r w:rsidRPr="0096308B">
        <w:rPr>
          <w:rFonts w:ascii="Montserrat Light" w:eastAsia="Montserrat Light" w:hAnsi="Montserrat Light" w:cs="Montserrat Light"/>
          <w:color w:val="231F20"/>
          <w:spacing w:val="-16"/>
          <w:w w:val="105"/>
          <w:sz w:val="19"/>
        </w:rPr>
        <w:t xml:space="preserve"> </w:t>
      </w:r>
      <w:r w:rsidRPr="0096308B">
        <w:rPr>
          <w:rFonts w:ascii="Montserrat Light" w:eastAsia="Montserrat Light" w:hAnsi="Montserrat Light" w:cs="Montserrat Light"/>
          <w:color w:val="231F20"/>
          <w:spacing w:val="-5"/>
          <w:w w:val="105"/>
          <w:sz w:val="19"/>
        </w:rPr>
        <w:t xml:space="preserve">provisions </w:t>
      </w:r>
      <w:r w:rsidRPr="0096308B">
        <w:rPr>
          <w:rFonts w:ascii="Montserrat Light" w:eastAsia="Montserrat Light" w:hAnsi="Montserrat Light" w:cs="Montserrat Light"/>
          <w:color w:val="231F20"/>
          <w:w w:val="105"/>
          <w:sz w:val="19"/>
        </w:rPr>
        <w:t>(as</w:t>
      </w:r>
      <w:r w:rsidRPr="0096308B">
        <w:rPr>
          <w:rFonts w:ascii="Montserrat Light" w:eastAsia="Montserrat Light" w:hAnsi="Montserrat Light" w:cs="Montserrat Light"/>
          <w:color w:val="231F20"/>
          <w:spacing w:val="-6"/>
          <w:w w:val="105"/>
          <w:sz w:val="19"/>
        </w:rPr>
        <w:t xml:space="preserve"> </w:t>
      </w:r>
      <w:r w:rsidRPr="0096308B">
        <w:rPr>
          <w:rFonts w:ascii="Montserrat Light" w:eastAsia="Montserrat Light" w:hAnsi="Montserrat Light" w:cs="Montserrat Light"/>
          <w:color w:val="231F20"/>
          <w:w w:val="105"/>
          <w:sz w:val="19"/>
        </w:rPr>
        <w:t>well</w:t>
      </w:r>
      <w:r w:rsidRPr="0096308B">
        <w:rPr>
          <w:rFonts w:ascii="Montserrat Light" w:eastAsia="Montserrat Light" w:hAnsi="Montserrat Light" w:cs="Montserrat Light"/>
          <w:color w:val="231F20"/>
          <w:spacing w:val="-6"/>
          <w:w w:val="105"/>
          <w:sz w:val="19"/>
        </w:rPr>
        <w:t xml:space="preserve"> </w:t>
      </w:r>
      <w:r w:rsidRPr="0096308B">
        <w:rPr>
          <w:rFonts w:ascii="Montserrat Light" w:eastAsia="Montserrat Light" w:hAnsi="Montserrat Light" w:cs="Montserrat Light"/>
          <w:color w:val="231F20"/>
          <w:w w:val="105"/>
          <w:sz w:val="19"/>
        </w:rPr>
        <w:t>as</w:t>
      </w:r>
      <w:r w:rsidRPr="0096308B">
        <w:rPr>
          <w:rFonts w:ascii="Montserrat Light" w:eastAsia="Montserrat Light" w:hAnsi="Montserrat Light" w:cs="Montserrat Light"/>
          <w:color w:val="231F20"/>
          <w:spacing w:val="-5"/>
          <w:w w:val="105"/>
          <w:sz w:val="19"/>
        </w:rPr>
        <w:t xml:space="preserve"> </w:t>
      </w:r>
      <w:r w:rsidRPr="0096308B">
        <w:rPr>
          <w:rFonts w:ascii="Montserrat Light" w:eastAsia="Montserrat Light" w:hAnsi="Montserrat Light" w:cs="Montserrat Light"/>
          <w:color w:val="231F20"/>
          <w:w w:val="105"/>
          <w:sz w:val="19"/>
        </w:rPr>
        <w:t>Oakland,</w:t>
      </w:r>
      <w:r w:rsidRPr="0096308B">
        <w:rPr>
          <w:rFonts w:ascii="Montserrat Light" w:eastAsia="Montserrat Light" w:hAnsi="Montserrat Light" w:cs="Montserrat Light"/>
          <w:color w:val="231F20"/>
          <w:spacing w:val="-6"/>
          <w:w w:val="105"/>
          <w:sz w:val="19"/>
        </w:rPr>
        <w:t xml:space="preserve"> </w:t>
      </w:r>
      <w:r w:rsidRPr="0096308B">
        <w:rPr>
          <w:rFonts w:ascii="Montserrat Light" w:eastAsia="Montserrat Light" w:hAnsi="Montserrat Light" w:cs="Montserrat Light"/>
          <w:color w:val="231F20"/>
          <w:w w:val="105"/>
          <w:sz w:val="19"/>
        </w:rPr>
        <w:t>Los</w:t>
      </w:r>
      <w:r w:rsidRPr="0096308B">
        <w:rPr>
          <w:rFonts w:ascii="Montserrat Light" w:eastAsia="Montserrat Light" w:hAnsi="Montserrat Light" w:cs="Montserrat Light"/>
          <w:color w:val="231F20"/>
          <w:spacing w:val="-5"/>
          <w:w w:val="105"/>
          <w:sz w:val="19"/>
        </w:rPr>
        <w:t xml:space="preserve"> </w:t>
      </w:r>
      <w:r w:rsidRPr="0096308B">
        <w:rPr>
          <w:rFonts w:ascii="Montserrat Light" w:eastAsia="Montserrat Light" w:hAnsi="Montserrat Light" w:cs="Montserrat Light"/>
          <w:color w:val="231F20"/>
          <w:w w:val="105"/>
          <w:sz w:val="19"/>
        </w:rPr>
        <w:t>Angeles</w:t>
      </w:r>
      <w:r w:rsidRPr="0096308B">
        <w:rPr>
          <w:rFonts w:ascii="Montserrat Light" w:eastAsia="Montserrat Light" w:hAnsi="Montserrat Light" w:cs="Montserrat Light"/>
          <w:color w:val="231F20"/>
          <w:spacing w:val="-6"/>
          <w:w w:val="105"/>
          <w:sz w:val="19"/>
        </w:rPr>
        <w:t xml:space="preserve"> </w:t>
      </w:r>
      <w:r w:rsidRPr="0096308B">
        <w:rPr>
          <w:rFonts w:ascii="Montserrat Light" w:eastAsia="Montserrat Light" w:hAnsi="Montserrat Light" w:cs="Montserrat Light"/>
          <w:color w:val="231F20"/>
          <w:w w:val="105"/>
          <w:sz w:val="19"/>
        </w:rPr>
        <w:t>City,</w:t>
      </w:r>
      <w:r w:rsidRPr="0096308B">
        <w:rPr>
          <w:rFonts w:ascii="Montserrat Light" w:eastAsia="Montserrat Light" w:hAnsi="Montserrat Light" w:cs="Montserrat Light"/>
          <w:color w:val="231F20"/>
          <w:spacing w:val="-5"/>
          <w:w w:val="105"/>
          <w:sz w:val="19"/>
        </w:rPr>
        <w:t xml:space="preserve"> </w:t>
      </w:r>
      <w:r w:rsidRPr="0096308B">
        <w:rPr>
          <w:rFonts w:ascii="Montserrat Light" w:eastAsia="Montserrat Light" w:hAnsi="Montserrat Light" w:cs="Montserrat Light"/>
          <w:color w:val="231F20"/>
          <w:w w:val="105"/>
          <w:sz w:val="19"/>
        </w:rPr>
        <w:t>Long</w:t>
      </w:r>
      <w:r w:rsidRPr="0096308B">
        <w:rPr>
          <w:rFonts w:ascii="Montserrat Light" w:eastAsia="Montserrat Light" w:hAnsi="Montserrat Light" w:cs="Montserrat Light"/>
          <w:color w:val="231F20"/>
          <w:spacing w:val="-6"/>
          <w:w w:val="105"/>
          <w:sz w:val="19"/>
        </w:rPr>
        <w:t xml:space="preserve"> </w:t>
      </w:r>
      <w:r w:rsidRPr="0096308B">
        <w:rPr>
          <w:rFonts w:ascii="Montserrat Light" w:eastAsia="Montserrat Light" w:hAnsi="Montserrat Light" w:cs="Montserrat Light"/>
          <w:color w:val="231F20"/>
          <w:w w:val="105"/>
          <w:sz w:val="19"/>
        </w:rPr>
        <w:t>Beach</w:t>
      </w:r>
      <w:r w:rsidRPr="0096308B">
        <w:rPr>
          <w:rFonts w:ascii="Montserrat Light" w:eastAsia="Montserrat Light" w:hAnsi="Montserrat Light" w:cs="Montserrat Light"/>
          <w:color w:val="231F20"/>
          <w:spacing w:val="-5"/>
          <w:w w:val="105"/>
          <w:sz w:val="19"/>
        </w:rPr>
        <w:t xml:space="preserve"> </w:t>
      </w:r>
      <w:r w:rsidRPr="0096308B">
        <w:rPr>
          <w:rFonts w:ascii="Montserrat Light" w:eastAsia="Montserrat Light" w:hAnsi="Montserrat Light" w:cs="Montserrat Light"/>
          <w:color w:val="231F20"/>
          <w:w w:val="105"/>
          <w:sz w:val="19"/>
        </w:rPr>
        <w:t>and</w:t>
      </w:r>
      <w:r w:rsidRPr="0096308B">
        <w:rPr>
          <w:rFonts w:ascii="Montserrat Light" w:eastAsia="Montserrat Light" w:hAnsi="Montserrat Light" w:cs="Montserrat Light"/>
          <w:color w:val="231F20"/>
          <w:spacing w:val="-6"/>
          <w:w w:val="105"/>
          <w:sz w:val="19"/>
        </w:rPr>
        <w:t xml:space="preserve"> </w:t>
      </w:r>
      <w:r w:rsidRPr="0096308B">
        <w:rPr>
          <w:rFonts w:ascii="Montserrat Light" w:eastAsia="Montserrat Light" w:hAnsi="Montserrat Light" w:cs="Montserrat Light"/>
          <w:color w:val="231F20"/>
          <w:w w:val="105"/>
          <w:sz w:val="19"/>
        </w:rPr>
        <w:t>San</w:t>
      </w:r>
      <w:r w:rsidRPr="0096308B">
        <w:rPr>
          <w:rFonts w:ascii="Montserrat Light" w:eastAsia="Montserrat Light" w:hAnsi="Montserrat Light" w:cs="Montserrat Light"/>
          <w:color w:val="231F20"/>
          <w:spacing w:val="-6"/>
          <w:w w:val="105"/>
          <w:sz w:val="19"/>
        </w:rPr>
        <w:t xml:space="preserve"> </w:t>
      </w:r>
      <w:r w:rsidRPr="0096308B">
        <w:rPr>
          <w:rFonts w:ascii="Montserrat Light" w:eastAsia="Montserrat Light" w:hAnsi="Montserrat Light" w:cs="Montserrat Light"/>
          <w:color w:val="231F20"/>
          <w:w w:val="105"/>
          <w:sz w:val="19"/>
        </w:rPr>
        <w:t>Francisco)</w:t>
      </w:r>
    </w:p>
    <w:p w14:paraId="380FC5E6" w14:textId="77777777" w:rsidR="0096308B" w:rsidRPr="0096308B" w:rsidRDefault="0096308B" w:rsidP="0096308B">
      <w:pPr>
        <w:widowControl w:val="0"/>
        <w:autoSpaceDE w:val="0"/>
        <w:autoSpaceDN w:val="0"/>
        <w:spacing w:before="185" w:line="218" w:lineRule="auto"/>
        <w:ind w:left="4338" w:right="121"/>
        <w:rPr>
          <w:rFonts w:ascii="Montserrat" w:eastAsia="Montserrat Light" w:hAnsi="Montserrat Light" w:cs="Montserrat Light"/>
          <w:b/>
          <w:color w:val="10AA9D"/>
          <w:w w:val="105"/>
          <w:sz w:val="19"/>
        </w:rPr>
      </w:pPr>
      <w:r w:rsidRPr="0096308B">
        <w:rPr>
          <w:rFonts w:ascii="Montserrat" w:eastAsia="Montserrat Light" w:hAnsi="Montserrat Light" w:cs="Montserrat Light"/>
          <w:b/>
          <w:color w:val="10AA9D"/>
          <w:spacing w:val="6"/>
          <w:w w:val="105"/>
          <w:sz w:val="19"/>
        </w:rPr>
        <w:t>Davis:</w:t>
      </w:r>
      <w:r w:rsidRPr="0096308B">
        <w:rPr>
          <w:rFonts w:ascii="Montserrat" w:eastAsia="Montserrat Light" w:hAnsi="Montserrat Light" w:cs="Montserrat Light"/>
          <w:b/>
          <w:color w:val="10AA9D"/>
          <w:w w:val="105"/>
          <w:sz w:val="19"/>
        </w:rPr>
        <w:t xml:space="preserve"> </w:t>
      </w:r>
      <w:r w:rsidRPr="0096308B">
        <w:rPr>
          <w:rFonts w:ascii="Montserrat Light" w:eastAsia="Montserrat Light" w:hAnsi="Montserrat Light" w:cs="Montserrat Light"/>
          <w:color w:val="231F20"/>
          <w:spacing w:val="-6"/>
          <w:w w:val="105"/>
          <w:sz w:val="19"/>
        </w:rPr>
        <w:t xml:space="preserve">Protected children and youth by allocating 1% of gross receipts to </w:t>
      </w:r>
      <w:proofErr w:type="gramStart"/>
      <w:r w:rsidRPr="0096308B">
        <w:rPr>
          <w:rFonts w:ascii="Montserrat Light" w:eastAsia="Montserrat Light" w:hAnsi="Montserrat Light" w:cs="Montserrat Light"/>
          <w:color w:val="231F20"/>
          <w:spacing w:val="-6"/>
          <w:w w:val="105"/>
          <w:sz w:val="19"/>
        </w:rPr>
        <w:t>school-based</w:t>
      </w:r>
      <w:proofErr w:type="gramEnd"/>
      <w:r w:rsidRPr="0096308B">
        <w:rPr>
          <w:rFonts w:ascii="Montserrat Light" w:eastAsia="Montserrat Light" w:hAnsi="Montserrat Light" w:cs="Montserrat Light"/>
          <w:color w:val="231F20"/>
          <w:spacing w:val="-6"/>
          <w:w w:val="105"/>
          <w:sz w:val="19"/>
        </w:rPr>
        <w:t xml:space="preserve"> and First 5 programs</w:t>
      </w:r>
    </w:p>
    <w:p w14:paraId="5027D7D4" w14:textId="77777777" w:rsidR="0096308B" w:rsidRPr="0096308B" w:rsidRDefault="0096308B" w:rsidP="0096308B">
      <w:pPr>
        <w:widowControl w:val="0"/>
        <w:autoSpaceDE w:val="0"/>
        <w:autoSpaceDN w:val="0"/>
        <w:spacing w:before="185" w:line="218" w:lineRule="auto"/>
        <w:ind w:left="4338" w:right="121"/>
        <w:rPr>
          <w:rFonts w:ascii="Montserrat Light" w:eastAsia="Montserrat Light" w:hAnsi="Montserrat Light" w:cs="Montserrat Light"/>
          <w:sz w:val="19"/>
        </w:rPr>
      </w:pPr>
      <w:r w:rsidRPr="0096308B">
        <w:rPr>
          <w:rFonts w:ascii="Montserrat" w:eastAsia="Montserrat Light" w:hAnsi="Montserrat Light" w:cs="Montserrat Light"/>
          <w:b/>
          <w:color w:val="10AA9D"/>
          <w:w w:val="105"/>
          <w:sz w:val="19"/>
        </w:rPr>
        <w:t xml:space="preserve">Contra Costa County: </w:t>
      </w:r>
      <w:r w:rsidRPr="0096308B">
        <w:rPr>
          <w:rFonts w:ascii="Montserrat Light" w:eastAsia="Montserrat Light" w:hAnsi="Montserrat Light" w:cs="Montserrat Light"/>
          <w:color w:val="231F20"/>
          <w:w w:val="105"/>
          <w:sz w:val="19"/>
        </w:rPr>
        <w:t>Protected youth by prohibiting flavored products for combustion or inhalation, and banning vaping products</w:t>
      </w:r>
    </w:p>
    <w:p w14:paraId="238FC09A" w14:textId="77777777" w:rsidR="0096308B" w:rsidRPr="0096308B" w:rsidRDefault="0096308B" w:rsidP="0096308B">
      <w:pPr>
        <w:widowControl w:val="0"/>
        <w:autoSpaceDE w:val="0"/>
        <w:autoSpaceDN w:val="0"/>
        <w:spacing w:before="168" w:line="218" w:lineRule="auto"/>
        <w:ind w:left="4338"/>
        <w:rPr>
          <w:rFonts w:ascii="Montserrat Light" w:eastAsia="Montserrat Light" w:hAnsi="Montserrat Light" w:cs="Montserrat Light"/>
          <w:sz w:val="19"/>
        </w:rPr>
      </w:pPr>
      <w:r w:rsidRPr="0096308B">
        <w:rPr>
          <w:rFonts w:ascii="Montserrat" w:eastAsia="Montserrat Light" w:hAnsi="Montserrat Light" w:cs="Montserrat Light"/>
          <w:b/>
          <w:color w:val="10AA9D"/>
          <w:w w:val="105"/>
          <w:sz w:val="19"/>
        </w:rPr>
        <w:t xml:space="preserve">Stanislaus County: </w:t>
      </w:r>
      <w:r w:rsidRPr="0096308B">
        <w:rPr>
          <w:rFonts w:ascii="Montserrat Light" w:eastAsia="Montserrat Light" w:hAnsi="Montserrat Light" w:cs="Montserrat Light"/>
          <w:color w:val="231F20"/>
          <w:w w:val="105"/>
          <w:sz w:val="19"/>
        </w:rPr>
        <w:t>Increased the number of sites with a required buffer from retailers (as well as 100 other jurisdictions)</w:t>
      </w:r>
    </w:p>
    <w:p w14:paraId="5CDC8C97" w14:textId="77777777" w:rsidR="0096308B" w:rsidRPr="0096308B" w:rsidRDefault="0096308B" w:rsidP="0096308B">
      <w:pPr>
        <w:widowControl w:val="0"/>
        <w:autoSpaceDE w:val="0"/>
        <w:autoSpaceDN w:val="0"/>
        <w:spacing w:before="168" w:line="218" w:lineRule="auto"/>
        <w:ind w:left="4734" w:right="257" w:hanging="81"/>
        <w:rPr>
          <w:rFonts w:ascii="Montserrat Light" w:eastAsia="Montserrat Light" w:hAnsi="Montserrat Light" w:cs="Montserrat Light"/>
          <w:sz w:val="19"/>
        </w:rPr>
      </w:pPr>
      <w:r w:rsidRPr="0096308B">
        <w:rPr>
          <w:rFonts w:ascii="Montserrat" w:eastAsia="Montserrat Light" w:hAnsi="Montserrat Light" w:cs="Montserrat Light"/>
          <w:b/>
          <w:color w:val="10AA9D"/>
          <w:w w:val="105"/>
          <w:sz w:val="19"/>
        </w:rPr>
        <w:t xml:space="preserve">Mono County: </w:t>
      </w:r>
      <w:r w:rsidRPr="0096308B">
        <w:rPr>
          <w:rFonts w:ascii="Montserrat Light" w:eastAsia="Montserrat Light" w:hAnsi="Montserrat Light" w:cs="Montserrat Light"/>
          <w:color w:val="231F20"/>
          <w:w w:val="105"/>
          <w:sz w:val="19"/>
        </w:rPr>
        <w:t>Protected consumers by not allowing health or therapeutic claims on cannabis products or their marketing (as did</w:t>
      </w:r>
    </w:p>
    <w:p w14:paraId="140A62FC" w14:textId="77777777" w:rsidR="0096308B" w:rsidRPr="0096308B" w:rsidRDefault="0096308B" w:rsidP="0096308B">
      <w:pPr>
        <w:widowControl w:val="0"/>
        <w:autoSpaceDE w:val="0"/>
        <w:autoSpaceDN w:val="0"/>
        <w:spacing w:line="241" w:lineRule="exact"/>
        <w:ind w:left="4934"/>
        <w:rPr>
          <w:rFonts w:ascii="Montserrat Light" w:eastAsia="Montserrat Light" w:hAnsi="Montserrat Light" w:cs="Montserrat Light"/>
          <w:sz w:val="19"/>
        </w:rPr>
      </w:pPr>
      <w:r w:rsidRPr="0096308B">
        <w:rPr>
          <w:rFonts w:ascii="Montserrat Light" w:eastAsia="Montserrat Light" w:hAnsi="Montserrat Light" w:cs="Montserrat Light"/>
          <w:color w:val="231F20"/>
          <w:w w:val="105"/>
          <w:sz w:val="19"/>
        </w:rPr>
        <w:t>Palm Springs)</w:t>
      </w:r>
    </w:p>
    <w:p w14:paraId="6D842720" w14:textId="77777777" w:rsidR="0096308B" w:rsidRPr="0096308B" w:rsidRDefault="0096308B" w:rsidP="0096308B">
      <w:pPr>
        <w:widowControl w:val="0"/>
        <w:autoSpaceDE w:val="0"/>
        <w:autoSpaceDN w:val="0"/>
        <w:spacing w:before="162" w:line="218" w:lineRule="auto"/>
        <w:ind w:left="5526" w:hanging="161"/>
        <w:rPr>
          <w:rFonts w:ascii="Montserrat Light" w:eastAsia="Montserrat Light" w:hAnsi="Montserrat Light" w:cs="Montserrat Light"/>
          <w:sz w:val="19"/>
        </w:rPr>
      </w:pPr>
      <w:r w:rsidRPr="0096308B">
        <w:rPr>
          <w:rFonts w:ascii="Montserrat" w:eastAsia="Montserrat Light" w:hAnsi="Montserrat Light" w:cs="Montserrat Light"/>
          <w:b/>
          <w:color w:val="10AA9D"/>
          <w:w w:val="105"/>
          <w:sz w:val="19"/>
        </w:rPr>
        <w:t xml:space="preserve">Mammoth Lakes: </w:t>
      </w:r>
      <w:r w:rsidRPr="0096308B">
        <w:rPr>
          <w:rFonts w:ascii="Montserrat Light" w:eastAsia="Montserrat Light" w:hAnsi="Montserrat Light" w:cs="Montserrat Light"/>
          <w:color w:val="231F20"/>
          <w:w w:val="105"/>
          <w:sz w:val="19"/>
        </w:rPr>
        <w:t>Protected youth by prohibiting advertising, packaging and products attractive to youth (along with</w:t>
      </w:r>
    </w:p>
    <w:p w14:paraId="01DDDEB4" w14:textId="77777777" w:rsidR="0096308B" w:rsidRPr="0096308B" w:rsidRDefault="0096308B" w:rsidP="0096308B">
      <w:pPr>
        <w:widowControl w:val="0"/>
        <w:autoSpaceDE w:val="0"/>
        <w:autoSpaceDN w:val="0"/>
        <w:spacing w:line="241" w:lineRule="exact"/>
        <w:ind w:left="5746"/>
        <w:rPr>
          <w:rFonts w:ascii="Montserrat Light" w:eastAsia="Montserrat Light" w:hAnsi="Montserrat Light" w:cs="Montserrat Light"/>
          <w:sz w:val="19"/>
        </w:rPr>
      </w:pPr>
      <w:r w:rsidRPr="0096308B">
        <w:rPr>
          <w:rFonts w:ascii="Montserrat Light" w:eastAsia="Montserrat Light" w:hAnsi="Montserrat Light" w:cs="Montserrat Light"/>
          <w:color w:val="231F20"/>
          <w:w w:val="105"/>
          <w:sz w:val="19"/>
        </w:rPr>
        <w:t>Mono County)</w:t>
      </w:r>
    </w:p>
    <w:p w14:paraId="37B55E68" w14:textId="77777777" w:rsidR="0096308B" w:rsidRPr="0096308B" w:rsidRDefault="0096308B" w:rsidP="0096308B">
      <w:pPr>
        <w:widowControl w:val="0"/>
        <w:autoSpaceDE w:val="0"/>
        <w:autoSpaceDN w:val="0"/>
        <w:spacing w:before="160" w:line="218" w:lineRule="auto"/>
        <w:ind w:left="6087" w:right="388"/>
        <w:jc w:val="center"/>
        <w:rPr>
          <w:rFonts w:ascii="Montserrat Light" w:eastAsia="Montserrat Light" w:hAnsi="Montserrat Light" w:cs="Montserrat Light"/>
          <w:sz w:val="19"/>
        </w:rPr>
      </w:pPr>
      <w:r w:rsidRPr="0096308B">
        <w:rPr>
          <w:rFonts w:ascii="Montserrat" w:eastAsia="Montserrat Light" w:hAnsi="Montserrat Light" w:cs="Montserrat Light"/>
          <w:b/>
          <w:color w:val="10AA9D"/>
          <w:w w:val="105"/>
          <w:sz w:val="19"/>
        </w:rPr>
        <w:t xml:space="preserve">Salinas: </w:t>
      </w:r>
      <w:r w:rsidRPr="0096308B">
        <w:rPr>
          <w:rFonts w:ascii="Montserrat Light" w:eastAsia="Montserrat Light" w:hAnsi="Montserrat Light" w:cs="Montserrat Light"/>
          <w:color w:val="231F20"/>
          <w:w w:val="105"/>
          <w:sz w:val="19"/>
        </w:rPr>
        <w:t>Protected youth by capping the number of licensed retailers at 1 for every ~32,000 people (93 other jurisdictions also capped dispensaries)</w:t>
      </w:r>
    </w:p>
    <w:p w14:paraId="43F38C68" w14:textId="77777777" w:rsidR="0096308B" w:rsidRPr="0096308B" w:rsidRDefault="0096308B" w:rsidP="0096308B">
      <w:pPr>
        <w:widowControl w:val="0"/>
        <w:autoSpaceDE w:val="0"/>
        <w:autoSpaceDN w:val="0"/>
        <w:spacing w:before="203" w:line="218" w:lineRule="auto"/>
        <w:ind w:left="7144" w:hanging="180"/>
        <w:rPr>
          <w:rFonts w:ascii="Montserrat Light" w:eastAsia="Montserrat Light" w:hAnsi="Montserrat Light" w:cs="Montserrat Light"/>
          <w:sz w:val="19"/>
        </w:rPr>
      </w:pPr>
      <w:r w:rsidRPr="0096308B">
        <w:rPr>
          <w:rFonts w:ascii="Montserrat" w:eastAsia="Montserrat Light" w:hAnsi="Montserrat Light" w:cs="Montserrat Light"/>
          <w:b/>
          <w:color w:val="10AA9D"/>
          <w:w w:val="105"/>
          <w:sz w:val="19"/>
        </w:rPr>
        <w:t xml:space="preserve">Pasadena: </w:t>
      </w:r>
      <w:r w:rsidRPr="0096308B">
        <w:rPr>
          <w:rFonts w:ascii="Montserrat Light" w:eastAsia="Montserrat Light" w:hAnsi="Montserrat Light" w:cs="Montserrat Light"/>
          <w:color w:val="231F20"/>
          <w:w w:val="105"/>
          <w:sz w:val="19"/>
        </w:rPr>
        <w:t>Protected youth by prohibiting promotions and coupons offering</w:t>
      </w:r>
    </w:p>
    <w:p w14:paraId="715E4D57" w14:textId="77777777" w:rsidR="0096308B" w:rsidRPr="0096308B" w:rsidRDefault="0096308B" w:rsidP="0096308B">
      <w:pPr>
        <w:widowControl w:val="0"/>
        <w:autoSpaceDE w:val="0"/>
        <w:autoSpaceDN w:val="0"/>
        <w:spacing w:line="241" w:lineRule="exact"/>
        <w:ind w:left="7364"/>
        <w:rPr>
          <w:rFonts w:ascii="Montserrat Light" w:eastAsia="Montserrat Light" w:hAnsi="Montserrat Light" w:cs="Montserrat Light"/>
          <w:sz w:val="19"/>
        </w:rPr>
      </w:pPr>
      <w:r w:rsidRPr="0096308B">
        <w:rPr>
          <w:rFonts w:ascii="Montserrat Light" w:eastAsia="Montserrat Light" w:hAnsi="Montserrat Light" w:cs="Montserrat Light"/>
          <w:color w:val="231F20"/>
          <w:w w:val="105"/>
          <w:sz w:val="19"/>
        </w:rPr>
        <w:t>discounted cannabis (along with 4 others)</w:t>
      </w:r>
    </w:p>
    <w:p w14:paraId="49CA0175" w14:textId="77777777" w:rsidR="0096308B" w:rsidRPr="0096308B" w:rsidRDefault="0096308B" w:rsidP="0096308B">
      <w:pPr>
        <w:widowControl w:val="0"/>
        <w:autoSpaceDE w:val="0"/>
        <w:autoSpaceDN w:val="0"/>
        <w:spacing w:before="146" w:line="218" w:lineRule="auto"/>
        <w:ind w:left="7935" w:hanging="61"/>
        <w:rPr>
          <w:rFonts w:ascii="Montserrat Light" w:eastAsia="Montserrat Light" w:hAnsi="Montserrat Light" w:cs="Montserrat Light"/>
          <w:sz w:val="19"/>
        </w:rPr>
      </w:pPr>
      <w:r w:rsidRPr="0096308B">
        <w:rPr>
          <w:rFonts w:ascii="Montserrat" w:eastAsia="Montserrat Light" w:hAnsi="Montserrat Light" w:cs="Montserrat Light"/>
          <w:b/>
          <w:color w:val="10AA9D"/>
          <w:w w:val="105"/>
          <w:sz w:val="19"/>
        </w:rPr>
        <w:t xml:space="preserve">West Hollywood: </w:t>
      </w:r>
      <w:r w:rsidRPr="0096308B">
        <w:rPr>
          <w:rFonts w:ascii="Montserrat Light" w:eastAsia="Montserrat Light" w:hAnsi="Montserrat Light" w:cs="Montserrat Light"/>
          <w:color w:val="231F20"/>
          <w:w w:val="105"/>
          <w:sz w:val="19"/>
        </w:rPr>
        <w:t>Protected consumers by requiring cannabis-</w:t>
      </w:r>
    </w:p>
    <w:p w14:paraId="65A6D346" w14:textId="77777777" w:rsidR="0096308B" w:rsidRPr="0096308B" w:rsidRDefault="0096308B" w:rsidP="0096308B">
      <w:pPr>
        <w:widowControl w:val="0"/>
        <w:autoSpaceDE w:val="0"/>
        <w:autoSpaceDN w:val="0"/>
        <w:spacing w:line="218" w:lineRule="auto"/>
        <w:ind w:left="8355" w:right="176" w:hanging="220"/>
        <w:rPr>
          <w:rFonts w:ascii="Montserrat Light" w:eastAsia="Montserrat Light" w:hAnsi="Montserrat Light" w:cs="Montserrat Light"/>
          <w:sz w:val="19"/>
        </w:rPr>
      </w:pPr>
      <w:r w:rsidRPr="0096308B">
        <w:rPr>
          <w:rFonts w:ascii="Montserrat Light" w:eastAsia="Montserrat Light" w:hAnsi="Montserrat Light" w:cs="Montserrat Light"/>
          <w:color w:val="231F20"/>
          <w:w w:val="105"/>
          <w:sz w:val="19"/>
        </w:rPr>
        <w:t>related health and safety training of dispensary staff (Long</w:t>
      </w:r>
    </w:p>
    <w:p w14:paraId="4C04023D" w14:textId="77777777" w:rsidR="0096308B" w:rsidRPr="0096308B" w:rsidRDefault="0096308B" w:rsidP="0096308B">
      <w:pPr>
        <w:widowControl w:val="0"/>
        <w:autoSpaceDE w:val="0"/>
        <w:autoSpaceDN w:val="0"/>
        <w:spacing w:line="218" w:lineRule="auto"/>
        <w:ind w:left="8795" w:hanging="220"/>
        <w:rPr>
          <w:rFonts w:ascii="Montserrat Light" w:eastAsia="Montserrat Light" w:hAnsi="Montserrat Light" w:cs="Montserrat Light"/>
          <w:sz w:val="19"/>
        </w:rPr>
      </w:pPr>
      <w:r w:rsidRPr="0096308B">
        <w:rPr>
          <w:rFonts w:ascii="Montserrat Light" w:eastAsia="Montserrat Light" w:hAnsi="Montserrat Light" w:cs="Montserrat Light"/>
          <w:color w:val="231F20"/>
          <w:w w:val="105"/>
          <w:sz w:val="19"/>
        </w:rPr>
        <w:t>Beach, Pasadena, Mt. Shasta, Mammoth Lakes and Mono</w:t>
      </w:r>
    </w:p>
    <w:p w14:paraId="50D6C7E2" w14:textId="77777777" w:rsidR="0096308B" w:rsidRPr="0096308B" w:rsidRDefault="0096308B" w:rsidP="0096308B">
      <w:pPr>
        <w:widowControl w:val="0"/>
        <w:autoSpaceDE w:val="0"/>
        <w:autoSpaceDN w:val="0"/>
        <w:spacing w:line="241" w:lineRule="exact"/>
        <w:ind w:left="8995"/>
        <w:rPr>
          <w:rFonts w:ascii="Montserrat Light" w:eastAsia="Montserrat Light" w:hAnsi="Montserrat Light" w:cs="Montserrat Light"/>
          <w:sz w:val="19"/>
        </w:rPr>
      </w:pPr>
      <w:r w:rsidRPr="0096308B">
        <w:rPr>
          <w:rFonts w:ascii="Montserrat Light" w:eastAsia="Montserrat Light" w:hAnsi="Montserrat Light" w:cs="Montserrat Light"/>
          <w:color w:val="231F20"/>
          <w:w w:val="105"/>
          <w:sz w:val="19"/>
        </w:rPr>
        <w:t>County did, too)</w:t>
      </w:r>
    </w:p>
    <w:p w14:paraId="0D513E97" w14:textId="77777777" w:rsidR="0096308B" w:rsidRPr="0096308B" w:rsidRDefault="0096308B" w:rsidP="0096308B">
      <w:pPr>
        <w:widowControl w:val="0"/>
        <w:autoSpaceDE w:val="0"/>
        <w:autoSpaceDN w:val="0"/>
        <w:spacing w:after="1200"/>
        <w:rPr>
          <w:rFonts w:ascii="Montserrat Light" w:eastAsia="Montserrat Light" w:hAnsi="Montserrat Light" w:cs="Montserrat Light"/>
          <w:sz w:val="26"/>
        </w:rPr>
      </w:pPr>
    </w:p>
    <w:p w14:paraId="67F3B52B" w14:textId="77777777" w:rsidR="0096308B" w:rsidRPr="0096308B" w:rsidRDefault="0096308B" w:rsidP="0096308B">
      <w:pPr>
        <w:widowControl w:val="0"/>
        <w:autoSpaceDE w:val="0"/>
        <w:autoSpaceDN w:val="0"/>
        <w:spacing w:before="1" w:line="218" w:lineRule="auto"/>
        <w:ind w:left="1026" w:right="6757"/>
        <w:rPr>
          <w:rFonts w:ascii="Montserrat Light" w:eastAsia="Montserrat Light" w:hAnsi="Montserrat Light" w:cs="Montserrat Light"/>
          <w:color w:val="231F20"/>
          <w:w w:val="105"/>
          <w:sz w:val="19"/>
        </w:rPr>
        <w:sectPr w:rsidR="0096308B" w:rsidRPr="0096308B" w:rsidSect="0096308B">
          <w:headerReference w:type="default" r:id="rId16"/>
          <w:footerReference w:type="default" r:id="rId17"/>
          <w:type w:val="continuous"/>
          <w:pgSz w:w="12240" w:h="15840"/>
          <w:pgMar w:top="1600" w:right="620" w:bottom="280" w:left="0" w:header="415" w:footer="0" w:gutter="0"/>
          <w:cols w:space="720"/>
        </w:sectPr>
      </w:pPr>
      <w:r w:rsidRPr="0096308B">
        <w:rPr>
          <w:rFonts w:ascii="Montserrat" w:eastAsia="Montserrat Light" w:hAnsi="Montserrat Light" w:cs="Montserrat Light"/>
          <w:b/>
          <w:color w:val="10AA9D"/>
          <w:w w:val="105"/>
          <w:sz w:val="19"/>
        </w:rPr>
        <w:t xml:space="preserve">Santa Ana: </w:t>
      </w:r>
      <w:r w:rsidRPr="0096308B">
        <w:rPr>
          <w:rFonts w:ascii="Montserrat Light" w:eastAsia="Montserrat Light" w:hAnsi="Montserrat Light" w:cs="Montserrat Light"/>
          <w:color w:val="231F20"/>
          <w:w w:val="105"/>
          <w:sz w:val="19"/>
        </w:rPr>
        <w:t>Informed consumers by requiring cannabis-related health risks information on signs or in handouts</w:t>
      </w:r>
      <w:r w:rsidRPr="0096308B">
        <w:rPr>
          <w:rFonts w:ascii="Montserrat Light" w:eastAsia="Montserrat Light" w:hAnsi="Montserrat Light" w:cs="Montserrat Light"/>
          <w:sz w:val="19"/>
        </w:rPr>
        <w:t xml:space="preserve"> </w:t>
      </w:r>
      <w:r w:rsidRPr="0096308B">
        <w:rPr>
          <w:rFonts w:ascii="Montserrat Light" w:eastAsia="Montserrat Light" w:hAnsi="Montserrat Light" w:cs="Montserrat Light"/>
          <w:color w:val="231F20"/>
          <w:w w:val="105"/>
          <w:sz w:val="19"/>
        </w:rPr>
        <w:t>in dispensaries (along with 23 others, including San Francisco, San Jose, Culver City &amp; Richmond)</w:t>
      </w:r>
    </w:p>
    <w:p w14:paraId="1E4D4732" w14:textId="77777777" w:rsidR="00560B23" w:rsidRPr="001115C5" w:rsidRDefault="00560B23" w:rsidP="0070520E">
      <w:pPr>
        <w:spacing w:after="240"/>
        <w:rPr>
          <w:rFonts w:ascii="Helvetica Neue" w:hAnsi="Helvetica Neue" w:cs="Arial"/>
        </w:rPr>
        <w:sectPr w:rsidR="00560B23" w:rsidRPr="001115C5" w:rsidSect="0096308B">
          <w:type w:val="continuous"/>
          <w:pgSz w:w="12240" w:h="15840"/>
          <w:pgMar w:top="720" w:right="1080" w:bottom="1440" w:left="1080" w:header="288" w:footer="432" w:gutter="0"/>
          <w:cols w:space="720"/>
          <w:docGrid w:linePitch="360"/>
        </w:sectPr>
      </w:pPr>
    </w:p>
    <w:p w14:paraId="488A10A8" w14:textId="5578C08B" w:rsidR="00560B23" w:rsidRPr="001115C5" w:rsidRDefault="00560B23" w:rsidP="00F76977">
      <w:pPr>
        <w:pStyle w:val="Heading1"/>
        <w:spacing w:before="0" w:after="120"/>
        <w:rPr>
          <w:rFonts w:ascii="Helvetica Neue" w:hAnsi="Helvetica Neue"/>
        </w:rPr>
      </w:pPr>
      <w:bookmarkStart w:id="2" w:name="_Toc65578290"/>
      <w:r w:rsidRPr="001115C5">
        <w:rPr>
          <w:rFonts w:ascii="Helvetica Neue" w:hAnsi="Helvetica Neue"/>
        </w:rPr>
        <w:lastRenderedPageBreak/>
        <w:t>Model Ordinance</w:t>
      </w:r>
      <w:bookmarkEnd w:id="2"/>
    </w:p>
    <w:p w14:paraId="28881CFD" w14:textId="4E7AA2F8" w:rsidR="00560B23" w:rsidRPr="001115C5" w:rsidRDefault="00560B23" w:rsidP="0024555B">
      <w:pPr>
        <w:spacing w:after="240" w:line="360" w:lineRule="auto"/>
        <w:rPr>
          <w:rFonts w:ascii="Helvetica Neue" w:hAnsi="Helvetica Neue" w:cs="Arial"/>
          <w:b/>
          <w:bCs/>
        </w:rPr>
      </w:pPr>
      <w:r w:rsidRPr="001115C5">
        <w:rPr>
          <w:rFonts w:ascii="Helvetica Neue" w:hAnsi="Helvetica Neue" w:cs="Arial"/>
          <w:b/>
          <w:bCs/>
        </w:rPr>
        <w:t xml:space="preserve">AN ORDINANCE OF THE </w:t>
      </w:r>
      <w:r w:rsidR="008B35D9" w:rsidRPr="001115C5">
        <w:rPr>
          <w:rFonts w:ascii="Helvetica Neue" w:hAnsi="Helvetica Neue" w:cs="Arial"/>
          <w:b/>
          <w:bCs/>
          <w:color w:val="FF0000"/>
        </w:rPr>
        <w:t>[City/County]</w:t>
      </w:r>
      <w:r w:rsidRPr="001115C5">
        <w:rPr>
          <w:rFonts w:ascii="Helvetica Neue" w:hAnsi="Helvetica Neue" w:cs="Arial"/>
          <w:b/>
          <w:bCs/>
        </w:rPr>
        <w:t xml:space="preserve"> REQUIRING A CONDITIONAL USE PERMIT AND OPERATING PERMIT FOR CANNABIS RETAILERS, ADDRESSING MARKETING OF CANNABIS AND CANNABIS PRODUCTS, AND AMENDING THE </w:t>
      </w:r>
      <w:r w:rsidR="008B35D9" w:rsidRPr="001115C5">
        <w:rPr>
          <w:rFonts w:ascii="Helvetica Neue" w:hAnsi="Helvetica Neue" w:cs="Arial"/>
          <w:b/>
          <w:bCs/>
          <w:color w:val="FF0000"/>
        </w:rPr>
        <w:t>[City/County]</w:t>
      </w:r>
      <w:r w:rsidRPr="001115C5">
        <w:rPr>
          <w:rFonts w:ascii="Helvetica Neue" w:hAnsi="Helvetica Neue" w:cs="Arial"/>
          <w:b/>
          <w:bCs/>
          <w:color w:val="FF0000"/>
        </w:rPr>
        <w:t xml:space="preserve"> </w:t>
      </w:r>
      <w:r w:rsidRPr="001115C5">
        <w:rPr>
          <w:rFonts w:ascii="Helvetica Neue" w:hAnsi="Helvetica Neue" w:cs="Arial"/>
          <w:b/>
          <w:bCs/>
        </w:rPr>
        <w:t>CODE</w:t>
      </w:r>
    </w:p>
    <w:p w14:paraId="356794D7" w14:textId="6FFB7C9F" w:rsidR="00560B23" w:rsidRPr="001115C5" w:rsidRDefault="00560B23" w:rsidP="00560B23">
      <w:pPr>
        <w:spacing w:after="240"/>
        <w:rPr>
          <w:rFonts w:ascii="Helvetica Neue" w:hAnsi="Helvetica Neue" w:cs="Arial"/>
        </w:rPr>
      </w:pPr>
      <w:r w:rsidRPr="001115C5">
        <w:rPr>
          <w:rFonts w:ascii="Helvetica Neue" w:hAnsi="Helvetica Neue" w:cs="Arial"/>
        </w:rPr>
        <w:t xml:space="preserve">The </w:t>
      </w:r>
      <w:r w:rsidRPr="001115C5">
        <w:rPr>
          <w:rFonts w:ascii="Helvetica Neue" w:hAnsi="Helvetica Neue" w:cs="Arial"/>
          <w:color w:val="FF0000"/>
        </w:rPr>
        <w:t xml:space="preserve">[City Council/Board of Supervisors] </w:t>
      </w:r>
      <w:r w:rsidRPr="001115C5">
        <w:rPr>
          <w:rFonts w:ascii="Helvetica Neue" w:hAnsi="Helvetica Neue" w:cs="Arial"/>
        </w:rPr>
        <w:t xml:space="preserve">of </w:t>
      </w:r>
      <w:r w:rsidR="008B35D9" w:rsidRPr="001115C5">
        <w:rPr>
          <w:rFonts w:ascii="Helvetica Neue" w:hAnsi="Helvetica Neue" w:cs="Arial"/>
          <w:color w:val="FF0000"/>
        </w:rPr>
        <w:t>[City/County]</w:t>
      </w:r>
      <w:r w:rsidRPr="001115C5">
        <w:rPr>
          <w:rFonts w:ascii="Helvetica Neue" w:hAnsi="Helvetica Neue" w:cs="Arial"/>
          <w:color w:val="FF0000"/>
        </w:rPr>
        <w:t xml:space="preserve"> </w:t>
      </w:r>
      <w:r w:rsidRPr="001115C5">
        <w:rPr>
          <w:rFonts w:ascii="Helvetica Neue" w:hAnsi="Helvetica Neue" w:cs="Arial"/>
        </w:rPr>
        <w:t>does ordain as follows:</w:t>
      </w:r>
    </w:p>
    <w:p w14:paraId="7EF527D7" w14:textId="1D9E99B9" w:rsidR="00560B23" w:rsidRPr="001115C5" w:rsidRDefault="00560B23" w:rsidP="0024555B">
      <w:pPr>
        <w:pStyle w:val="Heading2"/>
        <w:spacing w:before="360" w:after="240"/>
        <w:rPr>
          <w:rFonts w:ascii="Helvetica Neue" w:hAnsi="Helvetica Neue"/>
        </w:rPr>
      </w:pPr>
      <w:bookmarkStart w:id="3" w:name="_Toc65578291"/>
      <w:r w:rsidRPr="001115C5">
        <w:rPr>
          <w:rFonts w:ascii="Helvetica Neue" w:hAnsi="Helvetica Neue"/>
        </w:rPr>
        <w:t>SECTION I. FINDINGS</w:t>
      </w:r>
      <w:bookmarkEnd w:id="3"/>
    </w:p>
    <w:p w14:paraId="74A13084" w14:textId="07CB5097" w:rsidR="00560B23" w:rsidRPr="001115C5" w:rsidRDefault="008B35D9" w:rsidP="00560B23">
      <w:pPr>
        <w:spacing w:after="240"/>
        <w:rPr>
          <w:rFonts w:ascii="Helvetica Neue" w:hAnsi="Helvetica Neue" w:cs="Arial"/>
        </w:rPr>
      </w:pPr>
      <w:r w:rsidRPr="001115C5">
        <w:rPr>
          <w:rFonts w:ascii="Helvetica Neue" w:hAnsi="Helvetica Neue" w:cs="Arial"/>
          <w:color w:val="FF0000"/>
        </w:rPr>
        <w:t>[City/County]</w:t>
      </w:r>
      <w:r w:rsidR="00560B23" w:rsidRPr="001115C5">
        <w:rPr>
          <w:rFonts w:ascii="Helvetica Neue" w:hAnsi="Helvetica Neue" w:cs="Arial"/>
        </w:rPr>
        <w:t xml:space="preserve"> hereby finds and declares as follows:</w:t>
      </w:r>
    </w:p>
    <w:p w14:paraId="32ECF36B" w14:textId="1E88FD82" w:rsidR="00560B23" w:rsidRPr="001115C5" w:rsidRDefault="00560B23" w:rsidP="00560B23">
      <w:pPr>
        <w:spacing w:after="240"/>
        <w:rPr>
          <w:rFonts w:ascii="Helvetica Neue" w:hAnsi="Helvetica Neue" w:cs="Arial"/>
        </w:rPr>
      </w:pPr>
      <w:r w:rsidRPr="001115C5">
        <w:rPr>
          <w:rFonts w:ascii="Helvetica Neue" w:hAnsi="Helvetica Neue" w:cs="Arial"/>
        </w:rPr>
        <w:t xml:space="preserve">WHEREAS, based on the most reliable and up-to-date scientific evidence, the </w:t>
      </w:r>
      <w:r w:rsidRPr="009B6E6B">
        <w:rPr>
          <w:rFonts w:ascii="Helvetica Neue" w:hAnsi="Helvetica Neue" w:cs="Arial"/>
          <w:color w:val="FF0000"/>
        </w:rPr>
        <w:t>[City Council/Board of Supervisors]</w:t>
      </w:r>
      <w:r w:rsidRPr="001115C5">
        <w:rPr>
          <w:rFonts w:ascii="Helvetica Neue" w:hAnsi="Helvetica Neue" w:cs="Arial"/>
        </w:rPr>
        <w:t xml:space="preserve"> finds that the rapid introduction of newly legalized adult-use cannabis (“cannabis”), presents a significant potential threat to the public health, safety, and welfare of the residents of </w:t>
      </w:r>
      <w:r w:rsidR="008B35D9" w:rsidRPr="001115C5">
        <w:rPr>
          <w:rFonts w:ascii="Helvetica Neue" w:hAnsi="Helvetica Neue" w:cs="Arial"/>
          <w:color w:val="FF0000"/>
        </w:rPr>
        <w:t>[City/County]</w:t>
      </w:r>
      <w:r w:rsidRPr="001115C5">
        <w:rPr>
          <w:rFonts w:ascii="Helvetica Neue" w:hAnsi="Helvetica Neue" w:cs="Arial"/>
        </w:rPr>
        <w:t>, and particularly to youth; and</w:t>
      </w:r>
    </w:p>
    <w:p w14:paraId="775914A3" w14:textId="209BD12C" w:rsidR="00560B23" w:rsidRPr="001115C5" w:rsidRDefault="00560B23" w:rsidP="00560B23">
      <w:pPr>
        <w:spacing w:after="240"/>
        <w:rPr>
          <w:rFonts w:ascii="Helvetica Neue" w:hAnsi="Helvetica Neue" w:cs="Arial"/>
        </w:rPr>
      </w:pPr>
      <w:proofErr w:type="gramStart"/>
      <w:r w:rsidRPr="001115C5">
        <w:rPr>
          <w:rFonts w:ascii="Helvetica Neue" w:hAnsi="Helvetica Neue" w:cs="Arial"/>
        </w:rPr>
        <w:t>WHEREAS,</w:t>
      </w:r>
      <w:proofErr w:type="gramEnd"/>
      <w:r w:rsidRPr="001115C5">
        <w:rPr>
          <w:rFonts w:ascii="Helvetica Neue" w:hAnsi="Helvetica Neue" w:cs="Arial"/>
        </w:rPr>
        <w:t xml:space="preserve"> </w:t>
      </w:r>
      <w:r w:rsidR="008B35D9" w:rsidRPr="001115C5">
        <w:rPr>
          <w:rFonts w:ascii="Helvetica Neue" w:hAnsi="Helvetica Neue" w:cs="Arial"/>
          <w:color w:val="FF0000"/>
        </w:rPr>
        <w:t>[City/County]</w:t>
      </w:r>
      <w:r w:rsidRPr="001115C5">
        <w:rPr>
          <w:rFonts w:ascii="Helvetica Neue" w:hAnsi="Helvetica Neue" w:cs="Arial"/>
        </w:rPr>
        <w:t xml:space="preserve"> has the opportunity to be proactive and make decisions that will mitigate this threat and reduce exposure of young people to the products or to the marketing of these products, and improve compliance among cannabis retailers with laws prohibiting the sale or marketing of cannabis products to minors;</w:t>
      </w:r>
    </w:p>
    <w:p w14:paraId="6BDCF8ED" w14:textId="78BED223" w:rsidR="00560B23" w:rsidRPr="001115C5" w:rsidRDefault="00560B23" w:rsidP="00560B23">
      <w:pPr>
        <w:spacing w:after="240"/>
        <w:rPr>
          <w:rFonts w:ascii="Helvetica Neue" w:hAnsi="Helvetica Neue" w:cs="Arial"/>
        </w:rPr>
      </w:pPr>
      <w:r w:rsidRPr="001115C5">
        <w:rPr>
          <w:rFonts w:ascii="Helvetica Neue" w:hAnsi="Helvetica Neue" w:cs="Arial"/>
        </w:rPr>
        <w:t>WHEREAS, the United States Surgeon General has issued an advisory to alert the public to the known and potential harms to developing brains, posed by the increasing availability of highly potent marijuana in multiple, concentrated forms;</w:t>
      </w:r>
      <w:r w:rsidR="0024555B" w:rsidRPr="001115C5">
        <w:rPr>
          <w:rStyle w:val="FootnoteReference"/>
          <w:rFonts w:ascii="Helvetica Neue" w:hAnsi="Helvetica Neue" w:cs="Arial"/>
        </w:rPr>
        <w:footnoteReference w:id="10"/>
      </w:r>
      <w:r w:rsidRPr="001115C5">
        <w:rPr>
          <w:rFonts w:ascii="Helvetica Neue" w:hAnsi="Helvetica Neue" w:cs="Arial"/>
        </w:rPr>
        <w:t xml:space="preserve"> and the reasons for concerns with the increasing use of marijuana by pregnant women,</w:t>
      </w:r>
      <w:r w:rsidR="001466E8">
        <w:rPr>
          <w:rStyle w:val="FootnoteReference"/>
          <w:rFonts w:ascii="Helvetica Neue" w:hAnsi="Helvetica Neue" w:cs="Arial"/>
        </w:rPr>
        <w:footnoteReference w:id="11"/>
      </w:r>
      <w:r w:rsidRPr="001115C5">
        <w:rPr>
          <w:rFonts w:ascii="Helvetica Neue" w:hAnsi="Helvetica Neue" w:cs="Arial"/>
        </w:rPr>
        <w:t xml:space="preserve"> adolescents and youth;</w:t>
      </w:r>
      <w:r w:rsidR="00892E23">
        <w:rPr>
          <w:rStyle w:val="FootnoteReference"/>
          <w:rFonts w:ascii="Helvetica Neue" w:hAnsi="Helvetica Neue" w:cs="Arial"/>
        </w:rPr>
        <w:footnoteReference w:id="12"/>
      </w:r>
      <w:r w:rsidRPr="001115C5">
        <w:rPr>
          <w:rFonts w:ascii="Helvetica Neue" w:hAnsi="Helvetica Neue" w:cs="Arial"/>
        </w:rPr>
        <w:t xml:space="preserve"> and</w:t>
      </w:r>
    </w:p>
    <w:p w14:paraId="0A09B1C2" w14:textId="6134750C" w:rsidR="00560B23" w:rsidRPr="001115C5" w:rsidRDefault="00560B23" w:rsidP="00560B23">
      <w:pPr>
        <w:spacing w:after="240"/>
        <w:rPr>
          <w:rFonts w:ascii="Helvetica Neue" w:hAnsi="Helvetica Neue" w:cs="Arial"/>
        </w:rPr>
      </w:pPr>
      <w:proofErr w:type="gramStart"/>
      <w:r w:rsidRPr="001115C5">
        <w:rPr>
          <w:rFonts w:ascii="Helvetica Neue" w:hAnsi="Helvetica Neue" w:cs="Arial"/>
        </w:rPr>
        <w:t>WHEREAS,</w:t>
      </w:r>
      <w:proofErr w:type="gramEnd"/>
      <w:r w:rsidRPr="001115C5">
        <w:rPr>
          <w:rFonts w:ascii="Helvetica Neue" w:hAnsi="Helvetica Neue" w:cs="Arial"/>
        </w:rPr>
        <w:t xml:space="preserve"> the </w:t>
      </w:r>
      <w:r w:rsidRPr="001115C5">
        <w:rPr>
          <w:rFonts w:ascii="Helvetica Neue" w:hAnsi="Helvetica Neue" w:cs="Arial"/>
          <w:color w:val="FF0000"/>
        </w:rPr>
        <w:t>[City Council/Board of Supervisors]</w:t>
      </w:r>
      <w:r w:rsidRPr="001115C5">
        <w:rPr>
          <w:rFonts w:ascii="Helvetica Neue" w:hAnsi="Helvetica Neue" w:cs="Arial"/>
        </w:rPr>
        <w:t xml:space="preserve"> finds that a local regulatory system for cannabis retailers is appropriate to ensure that retailers comply with the cannabis laws and business standards of </w:t>
      </w:r>
      <w:r w:rsidR="008B35D9" w:rsidRPr="001115C5">
        <w:rPr>
          <w:rFonts w:ascii="Helvetica Neue" w:hAnsi="Helvetica Neue" w:cs="Arial"/>
          <w:color w:val="FF0000"/>
        </w:rPr>
        <w:t>[City/County]</w:t>
      </w:r>
      <w:r w:rsidRPr="001115C5">
        <w:rPr>
          <w:rFonts w:ascii="Helvetica Neue" w:hAnsi="Helvetica Neue" w:cs="Arial"/>
        </w:rPr>
        <w:t xml:space="preserve"> to protect the health, safety, and welfare of our youth and most vulnerable residents; and</w:t>
      </w:r>
    </w:p>
    <w:p w14:paraId="42BA2546" w14:textId="10307C92" w:rsidR="00560B23" w:rsidRPr="001115C5" w:rsidRDefault="00560B23" w:rsidP="00560B23">
      <w:pPr>
        <w:spacing w:after="240"/>
        <w:rPr>
          <w:rFonts w:ascii="Helvetica Neue" w:hAnsi="Helvetica Neue" w:cs="Arial"/>
        </w:rPr>
      </w:pPr>
      <w:r w:rsidRPr="001115C5">
        <w:rPr>
          <w:rFonts w:ascii="Helvetica Neue" w:hAnsi="Helvetica Neue" w:cs="Arial"/>
        </w:rPr>
        <w:t xml:space="preserve">WHEREAS, the National Academies of Science, Engineering and Medicine note that the growing acceptance, accessibility, and use of cannabis and its derivatives have raised important public health </w:t>
      </w:r>
      <w:r w:rsidRPr="001115C5">
        <w:rPr>
          <w:rFonts w:ascii="Helvetica Neue" w:hAnsi="Helvetica Neue" w:cs="Arial"/>
        </w:rPr>
        <w:lastRenderedPageBreak/>
        <w:t>concerns, while the lack of aggregated knowledge of cannabis-related health effects has led to uncertainty about the impact of its use;</w:t>
      </w:r>
      <w:r w:rsidR="0024555B" w:rsidRPr="001115C5">
        <w:rPr>
          <w:rStyle w:val="FootnoteReference"/>
          <w:rFonts w:ascii="Helvetica Neue" w:hAnsi="Helvetica Neue" w:cs="Arial"/>
        </w:rPr>
        <w:footnoteReference w:id="13"/>
      </w:r>
      <w:r w:rsidRPr="001115C5">
        <w:rPr>
          <w:rFonts w:ascii="Helvetica Neue" w:hAnsi="Helvetica Neue" w:cs="Arial"/>
        </w:rPr>
        <w:t xml:space="preserve"> and</w:t>
      </w:r>
    </w:p>
    <w:p w14:paraId="5458C33B" w14:textId="74D7FCA6" w:rsidR="00560B23" w:rsidRDefault="00560B23" w:rsidP="00560B23">
      <w:pPr>
        <w:spacing w:after="240"/>
        <w:rPr>
          <w:rFonts w:ascii="Helvetica Neue" w:hAnsi="Helvetica Neue" w:cs="Arial"/>
        </w:rPr>
      </w:pPr>
      <w:proofErr w:type="gramStart"/>
      <w:r w:rsidRPr="001115C5">
        <w:rPr>
          <w:rFonts w:ascii="Helvetica Neue" w:hAnsi="Helvetica Neue" w:cs="Arial"/>
        </w:rPr>
        <w:t>WHEREAS,</w:t>
      </w:r>
      <w:proofErr w:type="gramEnd"/>
      <w:r w:rsidRPr="001115C5">
        <w:rPr>
          <w:rFonts w:ascii="Helvetica Neue" w:hAnsi="Helvetica Neue" w:cs="Arial"/>
        </w:rPr>
        <w:t xml:space="preserve"> 22.2 million Americans ages 12 and older reported using cannabis in the past 30 days, </w:t>
      </w:r>
      <w:r w:rsidR="0098562E">
        <w:rPr>
          <w:rFonts w:ascii="Helvetica Neue" w:hAnsi="Helvetica Neue" w:cs="Arial"/>
        </w:rPr>
        <w:t>43.5 million reported use in the past year,</w:t>
      </w:r>
      <w:r w:rsidR="0098562E">
        <w:rPr>
          <w:rStyle w:val="FootnoteReference"/>
          <w:rFonts w:ascii="Helvetica Neue" w:hAnsi="Helvetica Neue" w:cs="Arial"/>
        </w:rPr>
        <w:footnoteReference w:id="14"/>
      </w:r>
      <w:r w:rsidR="0098562E">
        <w:rPr>
          <w:rFonts w:ascii="Helvetica Neue" w:hAnsi="Helvetica Neue" w:cs="Arial"/>
        </w:rPr>
        <w:t xml:space="preserve"> </w:t>
      </w:r>
      <w:r w:rsidRPr="001115C5">
        <w:rPr>
          <w:rFonts w:ascii="Helvetica Neue" w:hAnsi="Helvetica Neue" w:cs="Arial"/>
        </w:rPr>
        <w:t>and 90 percent of adult cannabis users in the United States said their primary use was recreational; and between 2002 and 201</w:t>
      </w:r>
      <w:r w:rsidR="00CA1C5A">
        <w:rPr>
          <w:rFonts w:ascii="Helvetica Neue" w:hAnsi="Helvetica Neue" w:cs="Arial"/>
        </w:rPr>
        <w:t>9</w:t>
      </w:r>
      <w:r w:rsidRPr="001115C5">
        <w:rPr>
          <w:rFonts w:ascii="Helvetica Neue" w:hAnsi="Helvetica Neue" w:cs="Arial"/>
        </w:rPr>
        <w:t xml:space="preserve">, the percentage of past-month cannabis users in the U.S. population ages 12 and older increased steadily from 6.2 percent to </w:t>
      </w:r>
      <w:r w:rsidR="00CA1C5A">
        <w:rPr>
          <w:rFonts w:ascii="Helvetica Neue" w:hAnsi="Helvetica Neue" w:cs="Arial"/>
        </w:rPr>
        <w:t>10.8</w:t>
      </w:r>
      <w:r w:rsidRPr="001115C5">
        <w:rPr>
          <w:rFonts w:ascii="Helvetica Neue" w:hAnsi="Helvetica Neue" w:cs="Arial"/>
        </w:rPr>
        <w:t xml:space="preserve"> percent;</w:t>
      </w:r>
      <w:r w:rsidR="0024555B" w:rsidRPr="001115C5">
        <w:rPr>
          <w:rStyle w:val="FootnoteReference"/>
          <w:rFonts w:ascii="Helvetica Neue" w:hAnsi="Helvetica Neue" w:cs="Arial"/>
        </w:rPr>
        <w:footnoteReference w:id="15"/>
      </w:r>
      <w:r w:rsidRPr="001115C5">
        <w:rPr>
          <w:rFonts w:ascii="Helvetica Neue" w:hAnsi="Helvetica Neue" w:cs="Arial"/>
        </w:rPr>
        <w:t xml:space="preserve"> </w:t>
      </w:r>
      <w:r w:rsidR="0098562E">
        <w:rPr>
          <w:rStyle w:val="FootnoteReference"/>
          <w:rFonts w:ascii="Helvetica Neue" w:hAnsi="Helvetica Neue" w:cs="Arial"/>
        </w:rPr>
        <w:footnoteReference w:id="16"/>
      </w:r>
      <w:r w:rsidR="0098562E">
        <w:rPr>
          <w:rFonts w:ascii="Helvetica Neue" w:hAnsi="Helvetica Neue" w:cs="Arial"/>
        </w:rPr>
        <w:t xml:space="preserve"> </w:t>
      </w:r>
      <w:r w:rsidRPr="001115C5">
        <w:rPr>
          <w:rFonts w:ascii="Helvetica Neue" w:hAnsi="Helvetica Neue" w:cs="Arial"/>
        </w:rPr>
        <w:t>and</w:t>
      </w:r>
    </w:p>
    <w:p w14:paraId="406A4A3D" w14:textId="350C6FB9" w:rsidR="001E6AB4" w:rsidRPr="001115C5" w:rsidRDefault="001E6AB4" w:rsidP="00560B23">
      <w:pPr>
        <w:spacing w:after="240"/>
        <w:rPr>
          <w:rFonts w:ascii="Helvetica Neue" w:hAnsi="Helvetica Neue" w:cs="Arial"/>
        </w:rPr>
      </w:pPr>
      <w:proofErr w:type="gramStart"/>
      <w:r>
        <w:rPr>
          <w:rFonts w:ascii="Helvetica Neue" w:hAnsi="Helvetica Neue" w:cs="Arial"/>
        </w:rPr>
        <w:t>WHEREAS,</w:t>
      </w:r>
      <w:proofErr w:type="gramEnd"/>
      <w:r>
        <w:rPr>
          <w:rFonts w:ascii="Helvetica Neue" w:hAnsi="Helvetica Neue" w:cs="Arial"/>
        </w:rPr>
        <w:t xml:space="preserve"> the rates of past year cannabis use by Californian adolescents ages 12-17 increased significantly from 14% to 16% just between 2017</w:t>
      </w:r>
      <w:r w:rsidR="009B433C">
        <w:rPr>
          <w:rFonts w:ascii="Helvetica Neue" w:hAnsi="Helvetica Neue" w:cs="Arial"/>
        </w:rPr>
        <w:t>-18</w:t>
      </w:r>
      <w:r>
        <w:rPr>
          <w:rFonts w:ascii="Helvetica Neue" w:hAnsi="Helvetica Neue" w:cs="Arial"/>
        </w:rPr>
        <w:t xml:space="preserve"> and </w:t>
      </w:r>
      <w:r w:rsidR="009B433C">
        <w:rPr>
          <w:rFonts w:ascii="Helvetica Neue" w:hAnsi="Helvetica Neue" w:cs="Arial"/>
        </w:rPr>
        <w:t>2018-19</w:t>
      </w:r>
      <w:r>
        <w:rPr>
          <w:rFonts w:ascii="Helvetica Neue" w:hAnsi="Helvetica Neue" w:cs="Arial"/>
        </w:rPr>
        <w:t>.</w:t>
      </w:r>
      <w:r w:rsidR="009B433C">
        <w:rPr>
          <w:rStyle w:val="FootnoteReference"/>
          <w:rFonts w:ascii="Helvetica Neue" w:hAnsi="Helvetica Neue" w:cs="Arial"/>
        </w:rPr>
        <w:footnoteReference w:id="17"/>
      </w:r>
    </w:p>
    <w:p w14:paraId="6AEC1FD2" w14:textId="09BC5882" w:rsidR="00560B23" w:rsidRPr="001115C5" w:rsidRDefault="00560B23" w:rsidP="00560B23">
      <w:pPr>
        <w:spacing w:after="240"/>
        <w:rPr>
          <w:rFonts w:ascii="Helvetica Neue" w:hAnsi="Helvetica Neue" w:cs="Arial"/>
        </w:rPr>
      </w:pPr>
      <w:r w:rsidRPr="001115C5">
        <w:rPr>
          <w:rFonts w:ascii="Helvetica Neue" w:hAnsi="Helvetica Neue" w:cs="Arial"/>
        </w:rPr>
        <w:t>WHEREAS, research has found cannabis use during adolescence, especially of products high in tetrahydrocannabinol (THC), or heavy use, is associated with suicide attempt,</w:t>
      </w:r>
      <w:r w:rsidR="0024555B" w:rsidRPr="001115C5">
        <w:rPr>
          <w:rStyle w:val="FootnoteReference"/>
          <w:rFonts w:ascii="Helvetica Neue" w:hAnsi="Helvetica Neue" w:cs="Arial"/>
        </w:rPr>
        <w:footnoteReference w:id="18"/>
      </w:r>
      <w:r w:rsidRPr="001115C5">
        <w:rPr>
          <w:rFonts w:ascii="Helvetica Neue" w:hAnsi="Helvetica Neue" w:cs="Arial"/>
        </w:rPr>
        <w:t xml:space="preserve"> high school drop-out,</w:t>
      </w:r>
      <w:r w:rsidR="003644A3" w:rsidRPr="001115C5">
        <w:rPr>
          <w:rStyle w:val="FootnoteReference"/>
          <w:rFonts w:ascii="Helvetica Neue" w:hAnsi="Helvetica Neue" w:cs="Arial"/>
        </w:rPr>
        <w:footnoteReference w:id="19"/>
      </w:r>
      <w:r w:rsidRPr="001115C5">
        <w:rPr>
          <w:rFonts w:ascii="Helvetica Neue" w:hAnsi="Helvetica Neue" w:cs="Arial"/>
        </w:rPr>
        <w:t xml:space="preserve"> higher likelihood of use of other illicit drugs and experiencing mental health impairment;</w:t>
      </w:r>
      <w:r w:rsidR="002269F8" w:rsidRPr="001115C5">
        <w:rPr>
          <w:rStyle w:val="FootnoteReference"/>
          <w:rFonts w:ascii="Helvetica Neue" w:hAnsi="Helvetica Neue" w:cs="Arial"/>
        </w:rPr>
        <w:footnoteReference w:id="20"/>
      </w:r>
      <w:r w:rsidRPr="001115C5">
        <w:rPr>
          <w:rFonts w:ascii="Helvetica Neue" w:hAnsi="Helvetica Neue" w:cs="Arial"/>
        </w:rPr>
        <w:t xml:space="preserve"> and</w:t>
      </w:r>
    </w:p>
    <w:p w14:paraId="7964B947" w14:textId="4BB86083" w:rsidR="00560B23" w:rsidRPr="001115C5" w:rsidRDefault="00560B23" w:rsidP="00560B23">
      <w:pPr>
        <w:spacing w:after="240"/>
        <w:rPr>
          <w:rFonts w:ascii="Helvetica Neue" w:hAnsi="Helvetica Neue" w:cs="Arial"/>
        </w:rPr>
      </w:pPr>
      <w:r w:rsidRPr="001115C5">
        <w:rPr>
          <w:rFonts w:ascii="Helvetica Neue" w:hAnsi="Helvetica Neue" w:cs="Arial"/>
        </w:rPr>
        <w:t>WHEREAS the perception of risk from cannabis consumption has been falling steadily, dropping from 58.3% to 31.1% among youth nationally between 2000 and 2016</w:t>
      </w:r>
      <w:r w:rsidR="0098562E">
        <w:rPr>
          <w:rFonts w:ascii="Helvetica Neue" w:hAnsi="Helvetica Neue" w:cs="Arial"/>
        </w:rPr>
        <w:t>,</w:t>
      </w:r>
      <w:r w:rsidR="002269F8" w:rsidRPr="001115C5">
        <w:rPr>
          <w:rStyle w:val="FootnoteReference"/>
          <w:rFonts w:ascii="Helvetica Neue" w:hAnsi="Helvetica Neue" w:cs="Arial"/>
        </w:rPr>
        <w:footnoteReference w:id="21"/>
      </w:r>
      <w:r w:rsidRPr="001115C5">
        <w:rPr>
          <w:rFonts w:ascii="Helvetica Neue" w:hAnsi="Helvetica Neue" w:cs="Arial"/>
        </w:rPr>
        <w:t xml:space="preserve"> and</w:t>
      </w:r>
      <w:r w:rsidR="0098562E">
        <w:rPr>
          <w:rFonts w:ascii="Helvetica Neue" w:hAnsi="Helvetica Neue" w:cs="Arial"/>
        </w:rPr>
        <w:t xml:space="preserve"> just 21.1% among </w:t>
      </w:r>
      <w:r w:rsidR="009B6E6B">
        <w:rPr>
          <w:rFonts w:ascii="Helvetica Neue" w:hAnsi="Helvetica Neue" w:cs="Arial"/>
        </w:rPr>
        <w:t>12–17-year-olds</w:t>
      </w:r>
      <w:r w:rsidR="0098562E">
        <w:rPr>
          <w:rFonts w:ascii="Helvetica Neue" w:hAnsi="Helvetica Neue" w:cs="Arial"/>
        </w:rPr>
        <w:t xml:space="preserve"> in California in 2018/19;</w:t>
      </w:r>
      <w:r w:rsidR="0098562E">
        <w:rPr>
          <w:rStyle w:val="FootnoteReference"/>
          <w:rFonts w:ascii="Helvetica Neue" w:hAnsi="Helvetica Neue" w:cs="Arial"/>
        </w:rPr>
        <w:footnoteReference w:id="22"/>
      </w:r>
      <w:r w:rsidR="0098562E">
        <w:rPr>
          <w:rFonts w:ascii="Helvetica Neue" w:hAnsi="Helvetica Neue" w:cs="Arial"/>
        </w:rPr>
        <w:t xml:space="preserve"> and </w:t>
      </w:r>
    </w:p>
    <w:p w14:paraId="29187B36" w14:textId="6EE2B5F0" w:rsidR="00560B23" w:rsidRPr="001115C5" w:rsidRDefault="00560B23" w:rsidP="00560B23">
      <w:pPr>
        <w:spacing w:after="240"/>
        <w:rPr>
          <w:rFonts w:ascii="Helvetica Neue" w:hAnsi="Helvetica Neue" w:cs="Arial"/>
        </w:rPr>
      </w:pPr>
      <w:r w:rsidRPr="001115C5">
        <w:rPr>
          <w:rFonts w:ascii="Helvetica Neue" w:hAnsi="Helvetica Neue" w:cs="Arial"/>
        </w:rPr>
        <w:t>WHEREAS, reported past year vaping of marijuana by youth age 18-22 doubled between 2017 and 2018, with 20.8 percent of 12th graders, and 19.4% of 10th graders, reporting past year marijuana vaping;</w:t>
      </w:r>
      <w:r w:rsidR="002269F8" w:rsidRPr="001115C5">
        <w:rPr>
          <w:rStyle w:val="FootnoteReference"/>
          <w:rFonts w:ascii="Helvetica Neue" w:hAnsi="Helvetica Neue" w:cs="Arial"/>
        </w:rPr>
        <w:footnoteReference w:id="23"/>
      </w:r>
      <w:r w:rsidRPr="001115C5">
        <w:rPr>
          <w:rFonts w:ascii="Helvetica Neue" w:hAnsi="Helvetica Neue" w:cs="Arial"/>
        </w:rPr>
        <w:t xml:space="preserve"> and</w:t>
      </w:r>
    </w:p>
    <w:p w14:paraId="28CCA295" w14:textId="48CE2B97" w:rsidR="00560B23" w:rsidRPr="001115C5" w:rsidRDefault="00560B23" w:rsidP="00560B23">
      <w:pPr>
        <w:spacing w:after="240"/>
        <w:rPr>
          <w:rFonts w:ascii="Helvetica Neue" w:hAnsi="Helvetica Neue" w:cs="Arial"/>
        </w:rPr>
      </w:pPr>
      <w:r w:rsidRPr="001115C5">
        <w:rPr>
          <w:rFonts w:ascii="Helvetica Neue" w:hAnsi="Helvetica Neue" w:cs="Arial"/>
        </w:rPr>
        <w:t xml:space="preserve">WHEREAS, in 2018 national marijuana use among full-time college students reached a 35-year </w:t>
      </w:r>
      <w:proofErr w:type="gramStart"/>
      <w:r w:rsidRPr="001115C5">
        <w:rPr>
          <w:rFonts w:ascii="Helvetica Neue" w:hAnsi="Helvetica Neue" w:cs="Arial"/>
        </w:rPr>
        <w:t>high;</w:t>
      </w:r>
      <w:proofErr w:type="gramEnd"/>
      <w:r w:rsidR="004401B9" w:rsidRPr="001115C5">
        <w:rPr>
          <w:rStyle w:val="FootnoteReference"/>
          <w:rFonts w:ascii="Helvetica Neue" w:hAnsi="Helvetica Neue" w:cs="Arial"/>
        </w:rPr>
        <w:footnoteReference w:id="24"/>
      </w:r>
      <w:r w:rsidRPr="001115C5">
        <w:rPr>
          <w:rFonts w:ascii="Helvetica Neue" w:hAnsi="Helvetica Neue" w:cs="Arial"/>
        </w:rPr>
        <w:t xml:space="preserve"> and</w:t>
      </w:r>
    </w:p>
    <w:p w14:paraId="29C168B5" w14:textId="00B5BA2F" w:rsidR="00560B23" w:rsidRPr="001115C5" w:rsidRDefault="00560B23" w:rsidP="00560B23">
      <w:pPr>
        <w:spacing w:after="240"/>
        <w:rPr>
          <w:rFonts w:ascii="Helvetica Neue" w:hAnsi="Helvetica Neue" w:cs="Arial"/>
        </w:rPr>
      </w:pPr>
      <w:r w:rsidRPr="001115C5">
        <w:rPr>
          <w:rFonts w:ascii="Helvetica Neue" w:hAnsi="Helvetica Neue" w:cs="Arial"/>
        </w:rPr>
        <w:lastRenderedPageBreak/>
        <w:t>WHEREAS, nationally, there have been significant increases in cannabis use among those age 12 and older, but especially among those age 18-22,</w:t>
      </w:r>
      <w:r w:rsidR="002C6597" w:rsidRPr="001115C5">
        <w:rPr>
          <w:rStyle w:val="FootnoteReference"/>
          <w:rFonts w:ascii="Helvetica Neue" w:hAnsi="Helvetica Neue" w:cs="Arial"/>
        </w:rPr>
        <w:footnoteReference w:id="25"/>
      </w:r>
      <w:r w:rsidRPr="001115C5">
        <w:rPr>
          <w:rFonts w:ascii="Helvetica Neue" w:hAnsi="Helvetica Neue" w:cs="Arial"/>
        </w:rPr>
        <w:t xml:space="preserve"> and cannabis use rates by youth age 18-22 are higher in states with legal adult-use cannabis than in non-legal states;</w:t>
      </w:r>
      <w:r w:rsidR="002C6597" w:rsidRPr="001115C5">
        <w:rPr>
          <w:rStyle w:val="FootnoteReference"/>
          <w:rFonts w:ascii="Helvetica Neue" w:hAnsi="Helvetica Neue" w:cs="Arial"/>
        </w:rPr>
        <w:footnoteReference w:id="26"/>
      </w:r>
      <w:r w:rsidRPr="001115C5">
        <w:rPr>
          <w:rFonts w:ascii="Helvetica Neue" w:hAnsi="Helvetica Neue" w:cs="Arial"/>
        </w:rPr>
        <w:t xml:space="preserve"> and</w:t>
      </w:r>
    </w:p>
    <w:p w14:paraId="0FF47068" w14:textId="66A8F571" w:rsidR="00560B23" w:rsidRPr="001115C5" w:rsidRDefault="00560B23" w:rsidP="00560B23">
      <w:pPr>
        <w:spacing w:after="240"/>
        <w:rPr>
          <w:rFonts w:ascii="Helvetica Neue" w:hAnsi="Helvetica Neue" w:cs="Arial"/>
        </w:rPr>
      </w:pPr>
      <w:r w:rsidRPr="001115C5">
        <w:rPr>
          <w:rFonts w:ascii="Helvetica Neue" w:hAnsi="Helvetica Neue" w:cs="Arial"/>
        </w:rPr>
        <w:t>WHEREAS use during pregnancy has risen substantially between 2000 and 2014, increasing the risk of low birth weight;</w:t>
      </w:r>
      <w:r w:rsidR="00F659CB" w:rsidRPr="001115C5">
        <w:rPr>
          <w:rStyle w:val="FootnoteReference"/>
          <w:rFonts w:ascii="Helvetica Neue" w:hAnsi="Helvetica Neue" w:cs="Arial"/>
        </w:rPr>
        <w:footnoteReference w:id="27"/>
      </w:r>
      <w:r w:rsidRPr="001115C5">
        <w:rPr>
          <w:rFonts w:ascii="Helvetica Neue" w:hAnsi="Helvetica Neue" w:cs="Arial"/>
        </w:rPr>
        <w:t xml:space="preserve"> and</w:t>
      </w:r>
    </w:p>
    <w:p w14:paraId="34E069E0" w14:textId="78B62F3B" w:rsidR="00560B23" w:rsidRPr="001115C5" w:rsidRDefault="00560B23" w:rsidP="00560B23">
      <w:pPr>
        <w:spacing w:after="240"/>
        <w:rPr>
          <w:rFonts w:ascii="Helvetica Neue" w:hAnsi="Helvetica Neue" w:cs="Arial"/>
        </w:rPr>
      </w:pPr>
      <w:r w:rsidRPr="001115C5">
        <w:rPr>
          <w:rFonts w:ascii="Helvetica Neue" w:hAnsi="Helvetica Neue" w:cs="Arial"/>
        </w:rPr>
        <w:t>WHEREAS, in 2015-2017 surveys, over 30 percent of 11th grade students in California stated they had ever used cannabis, a number far exceeding that for tobacco use;</w:t>
      </w:r>
      <w:r w:rsidR="00BC1DDE" w:rsidRPr="001115C5">
        <w:rPr>
          <w:rStyle w:val="FootnoteReference"/>
          <w:rFonts w:ascii="Helvetica Neue" w:hAnsi="Helvetica Neue" w:cs="Arial"/>
        </w:rPr>
        <w:footnoteReference w:id="28"/>
      </w:r>
      <w:r w:rsidRPr="001115C5">
        <w:rPr>
          <w:rFonts w:ascii="Helvetica Neue" w:hAnsi="Helvetica Neue" w:cs="Arial"/>
        </w:rPr>
        <w:t xml:space="preserve"> and</w:t>
      </w:r>
    </w:p>
    <w:p w14:paraId="63C58B1B" w14:textId="24B28B25" w:rsidR="00560B23" w:rsidRPr="001115C5" w:rsidRDefault="00560B23" w:rsidP="00560B23">
      <w:pPr>
        <w:spacing w:after="240"/>
        <w:rPr>
          <w:rFonts w:ascii="Helvetica Neue" w:hAnsi="Helvetica Neue" w:cs="Arial"/>
        </w:rPr>
      </w:pPr>
      <w:r w:rsidRPr="001115C5">
        <w:rPr>
          <w:rFonts w:ascii="Helvetica Neue" w:hAnsi="Helvetica Neue" w:cs="Arial"/>
        </w:rPr>
        <w:t>WHEREAS, as of February 2020, 50 states, the District of Columbia, and two U.S. territories reported 2,700 cases, and 68 deaths, caused by e-cigarette or vaping associated lung injury (EVALI),</w:t>
      </w:r>
      <w:r w:rsidR="0074365C" w:rsidRPr="001115C5">
        <w:rPr>
          <w:rStyle w:val="FootnoteReference"/>
          <w:rFonts w:ascii="Helvetica Neue" w:hAnsi="Helvetica Neue" w:cs="Arial"/>
        </w:rPr>
        <w:footnoteReference w:id="29"/>
      </w:r>
      <w:r w:rsidRPr="001115C5">
        <w:rPr>
          <w:rFonts w:ascii="Helvetica Neue" w:hAnsi="Helvetica Neue" w:cs="Arial"/>
        </w:rPr>
        <w:t xml:space="preserve"> demonstrating the hazards of extensive product diversification without adequate assessment of safety; and</w:t>
      </w:r>
    </w:p>
    <w:p w14:paraId="2AB22D48" w14:textId="4E8CA0B0" w:rsidR="00A61E68" w:rsidRPr="001115C5" w:rsidRDefault="00560B23" w:rsidP="0070520E">
      <w:pPr>
        <w:spacing w:after="240"/>
        <w:rPr>
          <w:rFonts w:ascii="Helvetica Neue" w:hAnsi="Helvetica Neue" w:cs="Arial"/>
        </w:rPr>
      </w:pPr>
      <w:r w:rsidRPr="001115C5">
        <w:rPr>
          <w:rFonts w:ascii="Helvetica Neue" w:hAnsi="Helvetica Neue" w:cs="Arial"/>
        </w:rPr>
        <w:t xml:space="preserve">WHEREAS, despite the state’s and </w:t>
      </w:r>
      <w:r w:rsidRPr="001115C5">
        <w:rPr>
          <w:rFonts w:ascii="Helvetica Neue" w:hAnsi="Helvetica Neue" w:cs="Arial"/>
          <w:color w:val="FF0000"/>
        </w:rPr>
        <w:t>[City’s/County’s]</w:t>
      </w:r>
      <w:r w:rsidRPr="001115C5">
        <w:rPr>
          <w:rFonts w:ascii="Helvetica Neue" w:hAnsi="Helvetica Neue" w:cs="Arial"/>
        </w:rPr>
        <w:t xml:space="preserve"> efforts to limit youth access to cannabis, minors are still able to access cannabis, as evidenced by these increases in use and the fact that:</w:t>
      </w:r>
    </w:p>
    <w:p w14:paraId="03FD6924" w14:textId="1C919EA5" w:rsidR="0074365C" w:rsidRPr="001115C5" w:rsidRDefault="0074365C" w:rsidP="00195A21">
      <w:pPr>
        <w:spacing w:after="360"/>
        <w:ind w:left="720"/>
        <w:rPr>
          <w:rFonts w:ascii="Helvetica Neue" w:hAnsi="Helvetica Neue" w:cs="Arial"/>
        </w:rPr>
      </w:pPr>
      <w:r w:rsidRPr="001115C5">
        <w:rPr>
          <w:rFonts w:ascii="Helvetica Neue" w:hAnsi="Helvetica Neue" w:cs="Arial"/>
          <w:color w:val="FF0000"/>
        </w:rPr>
        <w:t xml:space="preserve">[Insert local use data, which can be found at </w:t>
      </w:r>
      <w:hyperlink r:id="rId18" w:history="1">
        <w:r w:rsidRPr="001115C5">
          <w:rPr>
            <w:rStyle w:val="Hyperlink"/>
            <w:rFonts w:ascii="Helvetica Neue" w:hAnsi="Helvetica Neue" w:cs="Arial"/>
          </w:rPr>
          <w:t>kidsdata.org</w:t>
        </w:r>
      </w:hyperlink>
      <w:r w:rsidRPr="001115C5">
        <w:rPr>
          <w:rFonts w:ascii="Helvetica Neue" w:hAnsi="Helvetica Neue" w:cs="Arial"/>
          <w:color w:val="FF0000"/>
        </w:rPr>
        <w:t>, select topic emotional and behavioral health, select jurisdiction]</w:t>
      </w:r>
    </w:p>
    <w:tbl>
      <w:tblPr>
        <w:tblStyle w:val="TableGrid"/>
        <w:tblW w:w="0" w:type="auto"/>
        <w:tblInd w:w="108" w:type="dxa"/>
        <w:tblLook w:val="04A0" w:firstRow="1" w:lastRow="0" w:firstColumn="1" w:lastColumn="0" w:noHBand="0" w:noVBand="1"/>
      </w:tblPr>
      <w:tblGrid>
        <w:gridCol w:w="9962"/>
      </w:tblGrid>
      <w:tr w:rsidR="0074365C" w:rsidRPr="001115C5" w14:paraId="64222771" w14:textId="77777777" w:rsidTr="007765EB">
        <w:tc>
          <w:tcPr>
            <w:tcW w:w="10080" w:type="dxa"/>
            <w:shd w:val="clear" w:color="auto" w:fill="D9D9D9" w:themeFill="background1" w:themeFillShade="D9"/>
          </w:tcPr>
          <w:p w14:paraId="200B149A" w14:textId="6483E903" w:rsidR="0074365C" w:rsidRPr="001115C5" w:rsidRDefault="0074365C" w:rsidP="0074365C">
            <w:pPr>
              <w:spacing w:before="28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xml:space="preserve"> We recommend inserting further City/County-specific findings regarding the number of local high school students who use cannabis or cannabis products, youth perception of ease of accessibility of cannabis, and/or young adults who use cannabis or cannabis products. Data for individual counties and school districts can be found at </w:t>
            </w:r>
            <w:hyperlink r:id="rId19" w:history="1">
              <w:r w:rsidRPr="001115C5">
                <w:rPr>
                  <w:rStyle w:val="Hyperlink"/>
                  <w:rFonts w:ascii="Helvetica Neue" w:eastAsia="Helvetica Neue" w:hAnsi="Helvetica Neue" w:cs="Arial"/>
                </w:rPr>
                <w:t>kidsdata.org</w:t>
              </w:r>
            </w:hyperlink>
            <w:r w:rsidR="00195A21" w:rsidRPr="001115C5">
              <w:rPr>
                <w:rFonts w:ascii="Helvetica Neue" w:eastAsia="Helvetica Neue" w:hAnsi="Helvetica Neue" w:cs="Arial"/>
              </w:rPr>
              <w:t xml:space="preserve"> </w:t>
            </w:r>
            <w:r w:rsidRPr="001115C5">
              <w:rPr>
                <w:rFonts w:ascii="Helvetica Neue" w:eastAsia="Helvetica Neue" w:hAnsi="Helvetica Neue" w:cs="Arial"/>
              </w:rPr>
              <w:t>under the topic “Emotional &amp; Behavioral Health,” and the subtopic “Youth, Alcohol, Tobacco &amp; Other Drug Use.” Your local school district may have additional information.</w:t>
            </w:r>
          </w:p>
        </w:tc>
      </w:tr>
    </w:tbl>
    <w:p w14:paraId="601CD8B3" w14:textId="3BF4D585" w:rsidR="0074365C" w:rsidRPr="001115C5" w:rsidRDefault="0074365C" w:rsidP="00195A21">
      <w:pPr>
        <w:spacing w:before="480" w:after="240"/>
        <w:rPr>
          <w:rFonts w:ascii="Helvetica Neue" w:hAnsi="Helvetica Neue" w:cs="Arial"/>
        </w:rPr>
      </w:pPr>
      <w:r w:rsidRPr="001115C5">
        <w:rPr>
          <w:rFonts w:ascii="Helvetica Neue" w:hAnsi="Helvetica Neue" w:cs="Arial"/>
        </w:rPr>
        <w:t xml:space="preserve">WHEREAS, in 2017, the National Academies of Sciences, Engineering and Medicine (NASEM) reviewed the available scientific evidence on the health effects of cannabis and cannabis-derived products, and while noting substantial evidence of therapeutic effectiveness of medicinal cannabis </w:t>
      </w:r>
      <w:r w:rsidRPr="001115C5">
        <w:rPr>
          <w:rFonts w:ascii="Helvetica Neue" w:hAnsi="Helvetica Neue" w:cs="Arial"/>
        </w:rPr>
        <w:lastRenderedPageBreak/>
        <w:t>for a limited number of indications, noted evidence of association of cannabis use with harm in a wide range of areas.</w:t>
      </w:r>
      <w:r w:rsidR="00195A21" w:rsidRPr="001115C5">
        <w:rPr>
          <w:rStyle w:val="FootnoteReference"/>
          <w:rFonts w:ascii="Helvetica Neue" w:hAnsi="Helvetica Neue" w:cs="Arial"/>
        </w:rPr>
        <w:footnoteReference w:id="30"/>
      </w:r>
      <w:r w:rsidRPr="001115C5">
        <w:rPr>
          <w:rFonts w:ascii="Helvetica Neue" w:hAnsi="Helvetica Neue" w:cs="Arial"/>
        </w:rPr>
        <w:t xml:space="preserve"> The NASEM study found “substantial evidence”</w:t>
      </w:r>
      <w:r w:rsidR="00C056D3" w:rsidRPr="001115C5">
        <w:rPr>
          <w:rStyle w:val="FootnoteReference"/>
          <w:rFonts w:ascii="Helvetica Neue" w:hAnsi="Helvetica Neue" w:cs="Arial"/>
        </w:rPr>
        <w:footnoteReference w:id="31"/>
      </w:r>
      <w:r w:rsidRPr="001115C5">
        <w:rPr>
          <w:rFonts w:ascii="Helvetica Neue" w:hAnsi="Helvetica Neue" w:cs="Arial"/>
        </w:rPr>
        <w:t xml:space="preserve"> to support the following conclusions:</w:t>
      </w:r>
    </w:p>
    <w:p w14:paraId="4B2271EF" w14:textId="6DA06116" w:rsidR="0074365C" w:rsidRPr="001115C5" w:rsidRDefault="0074365C" w:rsidP="00C056D3">
      <w:pPr>
        <w:pStyle w:val="ListParagraph"/>
        <w:numPr>
          <w:ilvl w:val="0"/>
          <w:numId w:val="1"/>
        </w:numPr>
        <w:spacing w:after="240"/>
        <w:contextualSpacing w:val="0"/>
        <w:rPr>
          <w:rFonts w:ascii="Helvetica Neue" w:hAnsi="Helvetica Neue" w:cs="Arial"/>
        </w:rPr>
      </w:pPr>
      <w:r w:rsidRPr="001115C5">
        <w:rPr>
          <w:rFonts w:ascii="Helvetica Neue" w:hAnsi="Helvetica Neue" w:cs="Arial"/>
        </w:rPr>
        <w:t xml:space="preserve">Initiation of use at an earlier age or more frequent use is a risk factor for the development of problem cannabis </w:t>
      </w:r>
      <w:proofErr w:type="gramStart"/>
      <w:r w:rsidRPr="001115C5">
        <w:rPr>
          <w:rFonts w:ascii="Helvetica Neue" w:hAnsi="Helvetica Neue" w:cs="Arial"/>
        </w:rPr>
        <w:t>use;</w:t>
      </w:r>
      <w:proofErr w:type="gramEnd"/>
    </w:p>
    <w:p w14:paraId="7067FC57" w14:textId="3709628B" w:rsidR="0074365C" w:rsidRPr="001115C5" w:rsidRDefault="0074365C" w:rsidP="00C056D3">
      <w:pPr>
        <w:pStyle w:val="ListParagraph"/>
        <w:numPr>
          <w:ilvl w:val="0"/>
          <w:numId w:val="1"/>
        </w:numPr>
        <w:spacing w:after="240"/>
        <w:contextualSpacing w:val="0"/>
        <w:rPr>
          <w:rFonts w:ascii="Helvetica Neue" w:hAnsi="Helvetica Neue" w:cs="Arial"/>
        </w:rPr>
      </w:pPr>
      <w:r w:rsidRPr="001115C5">
        <w:rPr>
          <w:rFonts w:ascii="Helvetica Neue" w:hAnsi="Helvetica Neue" w:cs="Arial"/>
        </w:rPr>
        <w:t>Maternal cannabis smoking during pregnancy is associated with low birth weight in</w:t>
      </w:r>
      <w:r w:rsidR="00C056D3" w:rsidRPr="001115C5">
        <w:rPr>
          <w:rFonts w:ascii="Helvetica Neue" w:hAnsi="Helvetica Neue" w:cs="Arial"/>
        </w:rPr>
        <w:t xml:space="preserve"> </w:t>
      </w:r>
      <w:proofErr w:type="gramStart"/>
      <w:r w:rsidRPr="001115C5">
        <w:rPr>
          <w:rFonts w:ascii="Helvetica Neue" w:hAnsi="Helvetica Neue" w:cs="Arial"/>
        </w:rPr>
        <w:t>offspring;</w:t>
      </w:r>
      <w:proofErr w:type="gramEnd"/>
    </w:p>
    <w:p w14:paraId="596911CF" w14:textId="542B7AE6" w:rsidR="0074365C" w:rsidRPr="001115C5" w:rsidRDefault="0074365C" w:rsidP="00C056D3">
      <w:pPr>
        <w:pStyle w:val="ListParagraph"/>
        <w:numPr>
          <w:ilvl w:val="0"/>
          <w:numId w:val="1"/>
        </w:numPr>
        <w:spacing w:after="240"/>
        <w:contextualSpacing w:val="0"/>
        <w:rPr>
          <w:rFonts w:ascii="Helvetica Neue" w:hAnsi="Helvetica Neue" w:cs="Arial"/>
        </w:rPr>
      </w:pPr>
      <w:r w:rsidRPr="001115C5">
        <w:rPr>
          <w:rFonts w:ascii="Helvetica Neue" w:hAnsi="Helvetica Neue" w:cs="Arial"/>
        </w:rPr>
        <w:t xml:space="preserve">Cannabis use is associated with increased risk of motor vehicle </w:t>
      </w:r>
      <w:proofErr w:type="gramStart"/>
      <w:r w:rsidRPr="001115C5">
        <w:rPr>
          <w:rFonts w:ascii="Helvetica Neue" w:hAnsi="Helvetica Neue" w:cs="Arial"/>
        </w:rPr>
        <w:t>crashes;</w:t>
      </w:r>
      <w:proofErr w:type="gramEnd"/>
    </w:p>
    <w:p w14:paraId="74E6A1FA" w14:textId="3D586845" w:rsidR="0074365C" w:rsidRPr="001115C5" w:rsidRDefault="0074365C" w:rsidP="00C056D3">
      <w:pPr>
        <w:pStyle w:val="ListParagraph"/>
        <w:numPr>
          <w:ilvl w:val="0"/>
          <w:numId w:val="1"/>
        </w:numPr>
        <w:spacing w:after="240"/>
        <w:contextualSpacing w:val="0"/>
        <w:rPr>
          <w:rFonts w:ascii="Helvetica Neue" w:hAnsi="Helvetica Neue" w:cs="Arial"/>
        </w:rPr>
      </w:pPr>
      <w:r w:rsidRPr="001115C5">
        <w:rPr>
          <w:rFonts w:ascii="Helvetica Neue" w:hAnsi="Helvetica Neue" w:cs="Arial"/>
        </w:rPr>
        <w:t xml:space="preserve">Cannabis use increases the risk of development of schizophrenia and other psychoses, with the highest risk among the most frequent </w:t>
      </w:r>
      <w:proofErr w:type="gramStart"/>
      <w:r w:rsidRPr="001115C5">
        <w:rPr>
          <w:rFonts w:ascii="Helvetica Neue" w:hAnsi="Helvetica Neue" w:cs="Arial"/>
        </w:rPr>
        <w:t>users;</w:t>
      </w:r>
      <w:proofErr w:type="gramEnd"/>
    </w:p>
    <w:p w14:paraId="27013BB9" w14:textId="12311EA0" w:rsidR="0074365C" w:rsidRPr="001115C5" w:rsidRDefault="0074365C" w:rsidP="00C056D3">
      <w:pPr>
        <w:pStyle w:val="ListParagraph"/>
        <w:numPr>
          <w:ilvl w:val="0"/>
          <w:numId w:val="1"/>
        </w:numPr>
        <w:spacing w:after="240"/>
        <w:contextualSpacing w:val="0"/>
        <w:rPr>
          <w:rFonts w:ascii="Helvetica Neue" w:hAnsi="Helvetica Neue" w:cs="Arial"/>
        </w:rPr>
      </w:pPr>
      <w:r w:rsidRPr="001115C5">
        <w:rPr>
          <w:rFonts w:ascii="Helvetica Neue" w:hAnsi="Helvetica Neue" w:cs="Arial"/>
        </w:rPr>
        <w:t xml:space="preserve">Long-term cannabis smoking is associated with worse respiratory symptoms and </w:t>
      </w:r>
      <w:r w:rsidRPr="001115C5">
        <w:rPr>
          <w:rFonts w:ascii="Helvetica Neue" w:hAnsi="Helvetica Neue" w:cs="Arial"/>
        </w:rPr>
        <w:tab/>
        <w:t>more frequent chronic bronchitis episodes; and</w:t>
      </w:r>
    </w:p>
    <w:p w14:paraId="0B74FFEC" w14:textId="5DACC4AD" w:rsidR="0074365C" w:rsidRPr="001115C5" w:rsidRDefault="0074365C" w:rsidP="00C056D3">
      <w:pPr>
        <w:pStyle w:val="ListParagraph"/>
        <w:numPr>
          <w:ilvl w:val="0"/>
          <w:numId w:val="1"/>
        </w:numPr>
        <w:spacing w:after="240"/>
        <w:contextualSpacing w:val="0"/>
        <w:rPr>
          <w:rFonts w:ascii="Helvetica Neue" w:hAnsi="Helvetica Neue" w:cs="Arial"/>
        </w:rPr>
      </w:pPr>
      <w:r w:rsidRPr="001115C5">
        <w:rPr>
          <w:rFonts w:ascii="Helvetica Neue" w:hAnsi="Helvetica Neue" w:cs="Arial"/>
        </w:rPr>
        <w:t>Increases in cannabis use frequency are associated with developing problem cannabis use.</w:t>
      </w:r>
    </w:p>
    <w:p w14:paraId="414F6956" w14:textId="188A6D61" w:rsidR="0074365C" w:rsidRPr="001115C5" w:rsidRDefault="0074365C" w:rsidP="00C056D3">
      <w:pPr>
        <w:spacing w:after="240"/>
        <w:ind w:left="360"/>
        <w:rPr>
          <w:rFonts w:ascii="Helvetica Neue" w:hAnsi="Helvetica Neue" w:cs="Arial"/>
        </w:rPr>
      </w:pPr>
      <w:r w:rsidRPr="001115C5">
        <w:rPr>
          <w:rFonts w:ascii="Helvetica Neue" w:hAnsi="Helvetica Neue" w:cs="Arial"/>
        </w:rPr>
        <w:t>The NASEM study found less conclusive, but still worrisome, emerging evidence for a wide range of other harms, including impaired academic achievement and educational outcomes, development of substance use disorders, suicide completion, high blood pressure and increased unemployment, among others; and</w:t>
      </w:r>
    </w:p>
    <w:p w14:paraId="050E0907" w14:textId="11C1746F" w:rsidR="0074365C" w:rsidRPr="001115C5" w:rsidRDefault="0074365C" w:rsidP="0074365C">
      <w:pPr>
        <w:spacing w:after="240"/>
        <w:rPr>
          <w:rFonts w:ascii="Helvetica Neue" w:hAnsi="Helvetica Neue" w:cs="Arial"/>
        </w:rPr>
      </w:pPr>
      <w:proofErr w:type="gramStart"/>
      <w:r w:rsidRPr="001115C5">
        <w:rPr>
          <w:rFonts w:ascii="Helvetica Neue" w:hAnsi="Helvetica Neue" w:cs="Arial"/>
        </w:rPr>
        <w:t>WHEREAS,</w:t>
      </w:r>
      <w:proofErr w:type="gramEnd"/>
      <w:r w:rsidRPr="001115C5">
        <w:rPr>
          <w:rFonts w:ascii="Helvetica Neue" w:hAnsi="Helvetica Neue" w:cs="Arial"/>
        </w:rPr>
        <w:t xml:space="preserve"> the findings of the NASEM study and other research lead us to conclude that legalization of adult-use cannabis should be carried out cautiously, in such a way as to prevent undue exposure of youth and expansion of problem use; that unfettered expansion and diversification of products and of marketing are not prudent; and that, like tobacco and alcohol, cannabis use may pose significant risks to public health, especially when initiated early in life; and</w:t>
      </w:r>
    </w:p>
    <w:p w14:paraId="05DD1AFE" w14:textId="7EFD7F59" w:rsidR="0074365C" w:rsidRPr="001115C5" w:rsidRDefault="0074365C" w:rsidP="0074365C">
      <w:pPr>
        <w:spacing w:after="240"/>
        <w:rPr>
          <w:rFonts w:ascii="Helvetica Neue" w:hAnsi="Helvetica Neue" w:cs="Arial"/>
        </w:rPr>
      </w:pPr>
      <w:proofErr w:type="gramStart"/>
      <w:r w:rsidRPr="001115C5">
        <w:rPr>
          <w:rFonts w:ascii="Helvetica Neue" w:hAnsi="Helvetica Neue" w:cs="Arial"/>
        </w:rPr>
        <w:t>WHEREAS,</w:t>
      </w:r>
      <w:proofErr w:type="gramEnd"/>
      <w:r w:rsidRPr="001115C5">
        <w:rPr>
          <w:rFonts w:ascii="Helvetica Neue" w:hAnsi="Helvetica Neue" w:cs="Arial"/>
        </w:rPr>
        <w:t xml:space="preserve"> California voters have recognized the danger of cannabis use among youth by prohibiting the sale of cannabis to those under age 21 (Cal. Bus. &amp; Prof. Code § 26140(a)(1)-(3)) and the possession of cannabis or cannabis products by minors (Cal. Health &amp; Safety Code § 11357); an</w:t>
      </w:r>
      <w:r w:rsidR="00C65C77" w:rsidRPr="001115C5">
        <w:rPr>
          <w:rFonts w:ascii="Helvetica Neue" w:hAnsi="Helvetica Neue" w:cs="Arial"/>
        </w:rPr>
        <w:t>d</w:t>
      </w:r>
    </w:p>
    <w:p w14:paraId="40F36875" w14:textId="086BB2D4" w:rsidR="0074365C" w:rsidRPr="001115C5" w:rsidRDefault="0074365C" w:rsidP="0074365C">
      <w:pPr>
        <w:spacing w:after="240"/>
        <w:rPr>
          <w:rFonts w:ascii="Helvetica Neue" w:hAnsi="Helvetica Neue" w:cs="Arial"/>
        </w:rPr>
      </w:pPr>
      <w:proofErr w:type="gramStart"/>
      <w:r w:rsidRPr="001115C5">
        <w:rPr>
          <w:rFonts w:ascii="Helvetica Neue" w:hAnsi="Helvetica Neue" w:cs="Arial"/>
        </w:rPr>
        <w:t>WHEREAS,</w:t>
      </w:r>
      <w:proofErr w:type="gramEnd"/>
      <w:r w:rsidRPr="001115C5">
        <w:rPr>
          <w:rFonts w:ascii="Helvetica Neue" w:hAnsi="Helvetica Neue" w:cs="Arial"/>
        </w:rPr>
        <w:t xml:space="preserve"> state law requires that cannabis retailers check the identification of purchasers to verify that they are at least 21 years of age (Cal. Bus. &amp; Prof. Code § 26140(a)(4)) and provides that minors may be used to conduct on-site compliance checks of cannabis retailers (Cal. Bus. &amp; Prof. Code § 26140(b)); and</w:t>
      </w:r>
    </w:p>
    <w:p w14:paraId="445A6F35" w14:textId="5D7ED0A2" w:rsidR="0074365C" w:rsidRPr="001115C5" w:rsidRDefault="0074365C" w:rsidP="0074365C">
      <w:pPr>
        <w:spacing w:after="240"/>
        <w:rPr>
          <w:rFonts w:ascii="Helvetica Neue" w:hAnsi="Helvetica Neue" w:cs="Arial"/>
        </w:rPr>
      </w:pPr>
      <w:proofErr w:type="gramStart"/>
      <w:r w:rsidRPr="001115C5">
        <w:rPr>
          <w:rFonts w:ascii="Helvetica Neue" w:hAnsi="Helvetica Neue" w:cs="Arial"/>
        </w:rPr>
        <w:lastRenderedPageBreak/>
        <w:t>WHEREAS,</w:t>
      </w:r>
      <w:proofErr w:type="gramEnd"/>
      <w:r w:rsidRPr="001115C5">
        <w:rPr>
          <w:rFonts w:ascii="Helvetica Neue" w:hAnsi="Helvetica Neue" w:cs="Arial"/>
        </w:rPr>
        <w:t xml:space="preserve"> state law requires all cannabis retailers to be licensed by the Department of Consumer Affairs in part to curb the illegal sale and distribution of cannabis (Cal. Bus. &amp; Prof. Code § 26038(a)); and</w:t>
      </w:r>
    </w:p>
    <w:p w14:paraId="47CB4F5B" w14:textId="069A0357" w:rsidR="0074365C" w:rsidRPr="001115C5" w:rsidRDefault="0074365C" w:rsidP="0074365C">
      <w:pPr>
        <w:spacing w:after="240"/>
        <w:rPr>
          <w:rFonts w:ascii="Helvetica Neue" w:hAnsi="Helvetica Neue" w:cs="Arial"/>
        </w:rPr>
      </w:pPr>
      <w:r w:rsidRPr="001115C5">
        <w:rPr>
          <w:rFonts w:ascii="Helvetica Neue" w:hAnsi="Helvetica Neue" w:cs="Arial"/>
        </w:rPr>
        <w:t>WHEREAS state law establishes the authority of a local jurisdiction to adopt and enforce local ordinances to regulate cannabis businesses including, but not limited to, local zoning and land use requirements, business license requirements, and requirements related to reducing exposure to secondhand smoke, or to completely prohibit the establishment or operation of one or more types of cannabis businesses (Cal. Bus. &amp; Prof. Code § 26200(a)(1)); and</w:t>
      </w:r>
    </w:p>
    <w:p w14:paraId="4BE813B1" w14:textId="74B2B36B" w:rsidR="0074365C" w:rsidRPr="001115C5" w:rsidRDefault="0074365C" w:rsidP="0074365C">
      <w:pPr>
        <w:spacing w:after="240"/>
        <w:rPr>
          <w:rFonts w:ascii="Helvetica Neue" w:hAnsi="Helvetica Neue" w:cs="Arial"/>
        </w:rPr>
      </w:pPr>
      <w:r w:rsidRPr="001115C5">
        <w:rPr>
          <w:rFonts w:ascii="Helvetica Neue" w:hAnsi="Helvetica Neue" w:cs="Arial"/>
        </w:rPr>
        <w:t>WHEREAS, many years of alcohol and tobacco retailing, which are likely to have parallels in cannabis retailing, have demonstrated that California retailers continue to sell alcohol and tobacco to underage consumers, as evidenced by the following:</w:t>
      </w:r>
    </w:p>
    <w:p w14:paraId="6C488879" w14:textId="2BC06968" w:rsidR="0074365C" w:rsidRPr="001115C5" w:rsidRDefault="0074365C" w:rsidP="000F0E94">
      <w:pPr>
        <w:pStyle w:val="ListParagraph"/>
        <w:numPr>
          <w:ilvl w:val="0"/>
          <w:numId w:val="2"/>
        </w:numPr>
        <w:spacing w:after="240"/>
        <w:contextualSpacing w:val="0"/>
        <w:rPr>
          <w:rFonts w:ascii="Helvetica Neue" w:hAnsi="Helvetica Neue" w:cs="Arial"/>
        </w:rPr>
      </w:pPr>
      <w:r w:rsidRPr="001115C5">
        <w:rPr>
          <w:rFonts w:ascii="Helvetica Neue" w:hAnsi="Helvetica Neue" w:cs="Arial"/>
        </w:rPr>
        <w:t>More than 10 percent of all tobacco retailers were witnessed unlawfully selling to minors in 2016;</w:t>
      </w:r>
      <w:r w:rsidR="000F0E94" w:rsidRPr="001115C5">
        <w:rPr>
          <w:rStyle w:val="FootnoteReference"/>
          <w:rFonts w:ascii="Helvetica Neue" w:hAnsi="Helvetica Neue" w:cs="Arial"/>
        </w:rPr>
        <w:footnoteReference w:id="32"/>
      </w:r>
      <w:r w:rsidRPr="001115C5">
        <w:rPr>
          <w:rFonts w:ascii="Helvetica Neue" w:hAnsi="Helvetica Neue" w:cs="Arial"/>
        </w:rPr>
        <w:t xml:space="preserve"> and 15.9% of California alcohol retailers were caught unlawfully selling to minors in 2007;</w:t>
      </w:r>
      <w:r w:rsidR="000F0E94" w:rsidRPr="001115C5">
        <w:rPr>
          <w:rStyle w:val="FootnoteReference"/>
          <w:rFonts w:ascii="Helvetica Neue" w:hAnsi="Helvetica Neue" w:cs="Arial"/>
        </w:rPr>
        <w:footnoteReference w:id="33"/>
      </w:r>
    </w:p>
    <w:p w14:paraId="1B5674D6" w14:textId="5A450484" w:rsidR="0074365C" w:rsidRPr="001115C5" w:rsidRDefault="0074365C" w:rsidP="000F0E94">
      <w:pPr>
        <w:pStyle w:val="ListParagraph"/>
        <w:numPr>
          <w:ilvl w:val="0"/>
          <w:numId w:val="2"/>
        </w:numPr>
        <w:spacing w:after="240"/>
        <w:contextualSpacing w:val="0"/>
        <w:rPr>
          <w:rFonts w:ascii="Helvetica Neue" w:hAnsi="Helvetica Neue" w:cs="Arial"/>
        </w:rPr>
      </w:pPr>
      <w:r w:rsidRPr="001115C5">
        <w:rPr>
          <w:rFonts w:ascii="Helvetica Neue" w:hAnsi="Helvetica Neue" w:cs="Arial"/>
        </w:rPr>
        <w:t>Among minors nationwide who smoked cigarettes in 2011, 14% percent had obtained their own cigarettes by buying them in a store or gas station;</w:t>
      </w:r>
      <w:r w:rsidR="000F0E94" w:rsidRPr="001115C5">
        <w:rPr>
          <w:rStyle w:val="FootnoteReference"/>
          <w:rFonts w:ascii="Helvetica Neue" w:hAnsi="Helvetica Neue" w:cs="Arial"/>
        </w:rPr>
        <w:footnoteReference w:id="34"/>
      </w:r>
      <w:r w:rsidRPr="001115C5">
        <w:rPr>
          <w:rFonts w:ascii="Helvetica Neue" w:hAnsi="Helvetica Neue" w:cs="Arial"/>
        </w:rPr>
        <w:t xml:space="preserve"> and 14.5% of minors nationwide who used alcohol in the past 30 days in 2012 had obtained the alcohol themselves in an alcohol retail outlet;</w:t>
      </w:r>
      <w:r w:rsidR="000F0E94" w:rsidRPr="001115C5">
        <w:rPr>
          <w:rStyle w:val="FootnoteReference"/>
          <w:rFonts w:ascii="Helvetica Neue" w:hAnsi="Helvetica Neue" w:cs="Arial"/>
        </w:rPr>
        <w:footnoteReference w:id="35"/>
      </w:r>
      <w:r w:rsidRPr="001115C5">
        <w:rPr>
          <w:rFonts w:ascii="Helvetica Neue" w:hAnsi="Helvetica Neue" w:cs="Arial"/>
        </w:rPr>
        <w:t xml:space="preserve"> and</w:t>
      </w:r>
    </w:p>
    <w:p w14:paraId="797D1416" w14:textId="29EC8DFE" w:rsidR="0074365C" w:rsidRPr="001115C5" w:rsidRDefault="0074365C" w:rsidP="0074365C">
      <w:pPr>
        <w:spacing w:after="240"/>
        <w:rPr>
          <w:rFonts w:ascii="Helvetica Neue" w:hAnsi="Helvetica Neue" w:cs="Arial"/>
        </w:rPr>
      </w:pPr>
      <w:proofErr w:type="gramStart"/>
      <w:r w:rsidRPr="001115C5">
        <w:rPr>
          <w:rFonts w:ascii="Helvetica Neue" w:hAnsi="Helvetica Neue" w:cs="Arial"/>
        </w:rPr>
        <w:t>WHEREAS,</w:t>
      </w:r>
      <w:proofErr w:type="gramEnd"/>
      <w:r w:rsidRPr="001115C5">
        <w:rPr>
          <w:rFonts w:ascii="Helvetica Neue" w:hAnsi="Helvetica Neue" w:cs="Arial"/>
        </w:rPr>
        <w:t xml:space="preserve"> research in San Mateo County found that only 3 of 7 cannabis delivery companies required age verification before online browsing or upload a scan of an ID before purchasing, and only 3 of five companies verified age and identification on delivery;</w:t>
      </w:r>
      <w:r w:rsidR="000F0E94" w:rsidRPr="001115C5">
        <w:rPr>
          <w:rStyle w:val="FootnoteReference"/>
          <w:rFonts w:ascii="Helvetica Neue" w:hAnsi="Helvetica Neue" w:cs="Arial"/>
        </w:rPr>
        <w:footnoteReference w:id="36"/>
      </w:r>
      <w:r w:rsidRPr="001115C5">
        <w:rPr>
          <w:rFonts w:ascii="Helvetica Neue" w:hAnsi="Helvetica Neue" w:cs="Arial"/>
        </w:rPr>
        <w:t xml:space="preserve"> and</w:t>
      </w:r>
    </w:p>
    <w:p w14:paraId="0043D6E1" w14:textId="50AEFF51" w:rsidR="0074365C" w:rsidRPr="001115C5" w:rsidRDefault="0074365C" w:rsidP="0074365C">
      <w:pPr>
        <w:spacing w:after="240"/>
        <w:rPr>
          <w:rFonts w:ascii="Helvetica Neue" w:hAnsi="Helvetica Neue" w:cs="Arial"/>
        </w:rPr>
      </w:pPr>
      <w:r w:rsidRPr="001115C5">
        <w:rPr>
          <w:rFonts w:ascii="Helvetica Neue" w:hAnsi="Helvetica Neue" w:cs="Arial"/>
        </w:rPr>
        <w:t>WHEREAS, research has demonstrated that local tobacco retail ordinances dramatically reduce youth access to cigarettes, and therefore provide a useful model for preventing sales to youth of cannabis products. For example:</w:t>
      </w:r>
    </w:p>
    <w:p w14:paraId="552E7C78" w14:textId="542A55EF" w:rsidR="0074365C" w:rsidRPr="001115C5" w:rsidRDefault="0074365C" w:rsidP="000F0E94">
      <w:pPr>
        <w:pStyle w:val="ListParagraph"/>
        <w:numPr>
          <w:ilvl w:val="0"/>
          <w:numId w:val="3"/>
        </w:numPr>
        <w:spacing w:after="240"/>
        <w:rPr>
          <w:rFonts w:ascii="Helvetica Neue" w:hAnsi="Helvetica Neue" w:cs="Arial"/>
        </w:rPr>
      </w:pPr>
      <w:r w:rsidRPr="001115C5">
        <w:rPr>
          <w:rFonts w:ascii="Helvetica Neue" w:hAnsi="Helvetica Neue" w:cs="Arial"/>
        </w:rPr>
        <w:t>A review of 33 California communities with strong tobacco retailer licensing ordinances showed that the youth sales rate declined in 31 of these communities after the ordinances were enacted, with an average decrease of 26 percent in the youth sales rate;</w:t>
      </w:r>
      <w:r w:rsidR="00905415" w:rsidRPr="001115C5">
        <w:rPr>
          <w:rStyle w:val="FootnoteReference"/>
          <w:rFonts w:ascii="Helvetica Neue" w:hAnsi="Helvetica Neue" w:cs="Arial"/>
        </w:rPr>
        <w:footnoteReference w:id="37"/>
      </w:r>
      <w:r w:rsidRPr="001115C5">
        <w:rPr>
          <w:rFonts w:ascii="Helvetica Neue" w:hAnsi="Helvetica Neue" w:cs="Arial"/>
        </w:rPr>
        <w:t xml:space="preserve"> and</w:t>
      </w:r>
    </w:p>
    <w:p w14:paraId="418F7EC3" w14:textId="741CFB60" w:rsidR="0074365C" w:rsidRPr="001115C5" w:rsidRDefault="0074365C" w:rsidP="0074365C">
      <w:pPr>
        <w:spacing w:after="240"/>
        <w:rPr>
          <w:rFonts w:ascii="Helvetica Neue" w:hAnsi="Helvetica Neue" w:cs="Arial"/>
        </w:rPr>
      </w:pPr>
      <w:proofErr w:type="gramStart"/>
      <w:r w:rsidRPr="001115C5">
        <w:rPr>
          <w:rFonts w:ascii="Helvetica Neue" w:hAnsi="Helvetica Neue" w:cs="Arial"/>
        </w:rPr>
        <w:t>WHEREAS,</w:t>
      </w:r>
      <w:proofErr w:type="gramEnd"/>
      <w:r w:rsidRPr="001115C5">
        <w:rPr>
          <w:rFonts w:ascii="Helvetica Neue" w:hAnsi="Helvetica Neue" w:cs="Arial"/>
        </w:rPr>
        <w:t xml:space="preserve"> a requirement for a cannabis retailer permit will not unduly burden legitimate business activities of retailers who sell or distribute cannabis or cannabis products to adults, but will allow </w:t>
      </w:r>
      <w:r w:rsidR="008B35D9" w:rsidRPr="001115C5">
        <w:rPr>
          <w:rFonts w:ascii="Helvetica Neue" w:hAnsi="Helvetica Neue" w:cs="Arial"/>
          <w:color w:val="FF0000"/>
        </w:rPr>
        <w:lastRenderedPageBreak/>
        <w:t>[City/County]</w:t>
      </w:r>
      <w:r w:rsidRPr="001115C5">
        <w:rPr>
          <w:rFonts w:ascii="Helvetica Neue" w:hAnsi="Helvetica Neue" w:cs="Arial"/>
        </w:rPr>
        <w:t xml:space="preserve"> to regulate the operation of lawful businesses to discourage violations of state and local cannabis-related laws; and</w:t>
      </w:r>
    </w:p>
    <w:p w14:paraId="22E5673B" w14:textId="5AA7F0DF" w:rsidR="0074365C" w:rsidRPr="001115C5" w:rsidRDefault="0074365C" w:rsidP="0074365C">
      <w:pPr>
        <w:spacing w:after="240"/>
        <w:rPr>
          <w:rFonts w:ascii="Helvetica Neue" w:hAnsi="Helvetica Neue" w:cs="Arial"/>
        </w:rPr>
      </w:pPr>
      <w:proofErr w:type="gramStart"/>
      <w:r w:rsidRPr="001115C5">
        <w:rPr>
          <w:rFonts w:ascii="Helvetica Neue" w:hAnsi="Helvetica Neue" w:cs="Arial"/>
        </w:rPr>
        <w:t>WHEREAS,</w:t>
      </w:r>
      <w:proofErr w:type="gramEnd"/>
      <w:r w:rsidRPr="001115C5">
        <w:rPr>
          <w:rFonts w:ascii="Helvetica Neue" w:hAnsi="Helvetica Neue" w:cs="Arial"/>
        </w:rPr>
        <w:t xml:space="preserve"> </w:t>
      </w:r>
      <w:r w:rsidR="008B35D9" w:rsidRPr="001115C5">
        <w:rPr>
          <w:rFonts w:ascii="Helvetica Neue" w:hAnsi="Helvetica Neue" w:cs="Arial"/>
          <w:color w:val="FF0000"/>
        </w:rPr>
        <w:t>[City/County]</w:t>
      </w:r>
      <w:r w:rsidRPr="001115C5">
        <w:rPr>
          <w:rFonts w:ascii="Helvetica Neue" w:hAnsi="Helvetica Neue" w:cs="Arial"/>
        </w:rPr>
        <w:t xml:space="preserve"> has a substantial interest in promoting compliance with state and local laws intended to regulate cannabis sales and use; in discouraging the illegal purchase of cannabis products by minors; in promoting compliance with laws prohibiting sales of cannabis and cannabis products to minors; and finally, and most importantly, in protecting children and youth from being lured into illegal activity through the misconduct of adults; and</w:t>
      </w:r>
    </w:p>
    <w:p w14:paraId="440056C7" w14:textId="0B2684FB" w:rsidR="0074365C" w:rsidRPr="001115C5" w:rsidRDefault="0074365C" w:rsidP="0074365C">
      <w:pPr>
        <w:spacing w:after="240"/>
        <w:rPr>
          <w:rFonts w:ascii="Helvetica Neue" w:hAnsi="Helvetica Neue" w:cs="Arial"/>
        </w:rPr>
      </w:pPr>
      <w:r w:rsidRPr="001115C5">
        <w:rPr>
          <w:rFonts w:ascii="Helvetica Neue" w:hAnsi="Helvetica Neue" w:cs="Arial"/>
        </w:rPr>
        <w:t>WHEREAS, the density of tobacco retailers, particularly in neighborhoods surrounding schools, has been associated with increased youth smoking rates;</w:t>
      </w:r>
      <w:r w:rsidR="00E030BA" w:rsidRPr="001115C5">
        <w:rPr>
          <w:rStyle w:val="FootnoteReference"/>
          <w:rFonts w:ascii="Helvetica Neue" w:hAnsi="Helvetica Neue" w:cs="Arial"/>
        </w:rPr>
        <w:footnoteReference w:id="38"/>
      </w:r>
      <w:r w:rsidRPr="001115C5">
        <w:rPr>
          <w:rFonts w:ascii="Helvetica Neue" w:hAnsi="Helvetica Neue" w:cs="Arial"/>
        </w:rPr>
        <w:t xml:space="preserve"> a California study found that the density of tobacco retailers near schools was positively associated with the prevalence of students reporting experimental smoking;</w:t>
      </w:r>
      <w:r w:rsidR="00E030BA" w:rsidRPr="001115C5">
        <w:rPr>
          <w:rStyle w:val="FootnoteReference"/>
          <w:rFonts w:ascii="Helvetica Neue" w:hAnsi="Helvetica Neue" w:cs="Arial"/>
        </w:rPr>
        <w:footnoteReference w:id="39"/>
      </w:r>
      <w:r w:rsidR="00E030BA" w:rsidRPr="001115C5">
        <w:rPr>
          <w:rFonts w:ascii="Helvetica Neue" w:hAnsi="Helvetica Neue" w:cs="Arial"/>
        </w:rPr>
        <w:t xml:space="preserve"> </w:t>
      </w:r>
      <w:r w:rsidRPr="001115C5">
        <w:rPr>
          <w:rFonts w:ascii="Helvetica Neue" w:hAnsi="Helvetica Neue" w:cs="Arial"/>
        </w:rPr>
        <w:t>and</w:t>
      </w:r>
    </w:p>
    <w:p w14:paraId="1CB96D94" w14:textId="6A82E610" w:rsidR="0074365C" w:rsidRPr="001115C5" w:rsidRDefault="0074365C" w:rsidP="0074365C">
      <w:pPr>
        <w:spacing w:after="240"/>
        <w:rPr>
          <w:rFonts w:ascii="Helvetica Neue" w:hAnsi="Helvetica Neue" w:cs="Arial"/>
        </w:rPr>
      </w:pPr>
      <w:proofErr w:type="gramStart"/>
      <w:r w:rsidRPr="001115C5">
        <w:rPr>
          <w:rFonts w:ascii="Helvetica Neue" w:hAnsi="Helvetica Neue" w:cs="Arial"/>
        </w:rPr>
        <w:t>WHEREAS,</w:t>
      </w:r>
      <w:proofErr w:type="gramEnd"/>
      <w:r w:rsidRPr="001115C5">
        <w:rPr>
          <w:rFonts w:ascii="Helvetica Neue" w:hAnsi="Helvetica Neue" w:cs="Arial"/>
        </w:rPr>
        <w:t xml:space="preserve"> a recent study found that higher dispensary density in states with legal cannabis laws was associated with higher likelihood of youth ages 14-18 experimenting with cannabis vaping and edibles;</w:t>
      </w:r>
      <w:r w:rsidR="00E030BA" w:rsidRPr="001115C5">
        <w:rPr>
          <w:rStyle w:val="FootnoteReference"/>
          <w:rFonts w:ascii="Helvetica Neue" w:hAnsi="Helvetica Neue" w:cs="Arial"/>
        </w:rPr>
        <w:footnoteReference w:id="40"/>
      </w:r>
      <w:r w:rsidRPr="001115C5">
        <w:rPr>
          <w:rFonts w:ascii="Helvetica Neue" w:hAnsi="Helvetica Neue" w:cs="Arial"/>
        </w:rPr>
        <w:t xml:space="preserve"> and</w:t>
      </w:r>
    </w:p>
    <w:p w14:paraId="6BCF9BD4" w14:textId="197FEDCB" w:rsidR="0074365C" w:rsidRPr="001115C5" w:rsidRDefault="0074365C" w:rsidP="0074365C">
      <w:pPr>
        <w:spacing w:after="240"/>
        <w:rPr>
          <w:rFonts w:ascii="Helvetica Neue" w:hAnsi="Helvetica Neue" w:cs="Arial"/>
        </w:rPr>
      </w:pPr>
      <w:proofErr w:type="gramStart"/>
      <w:r w:rsidRPr="001115C5">
        <w:rPr>
          <w:rFonts w:ascii="Helvetica Neue" w:hAnsi="Helvetica Neue" w:cs="Arial"/>
        </w:rPr>
        <w:t>WHEREAS,</w:t>
      </w:r>
      <w:proofErr w:type="gramEnd"/>
      <w:r w:rsidRPr="001115C5">
        <w:rPr>
          <w:rFonts w:ascii="Helvetica Neue" w:hAnsi="Helvetica Neue" w:cs="Arial"/>
        </w:rPr>
        <w:t xml:space="preserve"> home delivery of alcohol products has been associated with increased rates of purchase by minors;</w:t>
      </w:r>
      <w:r w:rsidR="003D7F72" w:rsidRPr="001115C5">
        <w:rPr>
          <w:rStyle w:val="FootnoteReference"/>
          <w:rFonts w:ascii="Helvetica Neue" w:hAnsi="Helvetica Neue" w:cs="Arial"/>
        </w:rPr>
        <w:footnoteReference w:id="41"/>
      </w:r>
      <w:r w:rsidR="00A471D7" w:rsidRPr="001115C5">
        <w:rPr>
          <w:rFonts w:ascii="Helvetica Neue" w:hAnsi="Helvetica Neue" w:cs="Arial"/>
        </w:rPr>
        <w:t xml:space="preserve"> </w:t>
      </w:r>
      <w:r w:rsidR="003D7F72" w:rsidRPr="001115C5">
        <w:rPr>
          <w:rStyle w:val="FootnoteReference"/>
          <w:rFonts w:ascii="Helvetica Neue" w:hAnsi="Helvetica Neue" w:cs="Arial"/>
        </w:rPr>
        <w:footnoteReference w:id="42"/>
      </w:r>
      <w:r w:rsidRPr="001115C5">
        <w:rPr>
          <w:rFonts w:ascii="Helvetica Neue" w:hAnsi="Helvetica Neue" w:cs="Arial"/>
        </w:rPr>
        <w:t xml:space="preserve"> and</w:t>
      </w:r>
    </w:p>
    <w:p w14:paraId="2E7F8BAE" w14:textId="2FA96C41" w:rsidR="0074365C" w:rsidRPr="001115C5" w:rsidRDefault="0074365C" w:rsidP="0074365C">
      <w:pPr>
        <w:spacing w:after="240"/>
        <w:rPr>
          <w:rFonts w:ascii="Helvetica Neue" w:hAnsi="Helvetica Neue" w:cs="Arial"/>
        </w:rPr>
      </w:pPr>
      <w:proofErr w:type="gramStart"/>
      <w:r w:rsidRPr="001115C5">
        <w:rPr>
          <w:rFonts w:ascii="Helvetica Neue" w:hAnsi="Helvetica Neue" w:cs="Arial"/>
        </w:rPr>
        <w:t>WHEREAS,</w:t>
      </w:r>
      <w:proofErr w:type="gramEnd"/>
      <w:r w:rsidRPr="001115C5">
        <w:rPr>
          <w:rFonts w:ascii="Helvetica Neue" w:hAnsi="Helvetica Neue" w:cs="Arial"/>
        </w:rPr>
        <w:t xml:space="preserve"> unintentional exposure to marijuana by children under age 10 resulting in seeking care at poison centers in Colorado increased by 34% between 2009 and 2016, including increases from the two years before to the two years after legalization;</w:t>
      </w:r>
      <w:r w:rsidR="00EE1BF1" w:rsidRPr="001115C5">
        <w:rPr>
          <w:rStyle w:val="FootnoteReference"/>
          <w:rFonts w:ascii="Helvetica Neue" w:hAnsi="Helvetica Neue" w:cs="Arial"/>
        </w:rPr>
        <w:footnoteReference w:id="43"/>
      </w:r>
      <w:r w:rsidRPr="001115C5">
        <w:rPr>
          <w:rFonts w:ascii="Helvetica Neue" w:hAnsi="Helvetica Neue" w:cs="Arial"/>
        </w:rPr>
        <w:t>and</w:t>
      </w:r>
    </w:p>
    <w:p w14:paraId="1EDF2F03" w14:textId="25365DD4" w:rsidR="0074365C" w:rsidRPr="001115C5" w:rsidRDefault="0074365C" w:rsidP="0074365C">
      <w:pPr>
        <w:spacing w:after="240"/>
        <w:rPr>
          <w:rFonts w:ascii="Helvetica Neue" w:hAnsi="Helvetica Neue" w:cs="Arial"/>
        </w:rPr>
      </w:pPr>
      <w:proofErr w:type="gramStart"/>
      <w:r w:rsidRPr="001115C5">
        <w:rPr>
          <w:rFonts w:ascii="Helvetica Neue" w:hAnsi="Helvetica Neue" w:cs="Arial"/>
        </w:rPr>
        <w:t>WHEREAS,</w:t>
      </w:r>
      <w:proofErr w:type="gramEnd"/>
      <w:r w:rsidRPr="001115C5">
        <w:rPr>
          <w:rFonts w:ascii="Helvetica Neue" w:hAnsi="Helvetica Neue" w:cs="Arial"/>
        </w:rPr>
        <w:t xml:space="preserve"> children and young people are particularly influenced by cues suggesting tobacco smoking is acceptable, which holds relevance for cannabis smoking;</w:t>
      </w:r>
      <w:r w:rsidR="00780166" w:rsidRPr="001115C5">
        <w:rPr>
          <w:rStyle w:val="FootnoteReference"/>
          <w:rFonts w:ascii="Helvetica Neue" w:hAnsi="Helvetica Neue" w:cs="Arial"/>
        </w:rPr>
        <w:footnoteReference w:id="44"/>
      </w:r>
      <w:r w:rsidRPr="001115C5">
        <w:rPr>
          <w:rFonts w:ascii="Helvetica Neue" w:hAnsi="Helvetica Neue" w:cs="Arial"/>
        </w:rPr>
        <w:t xml:space="preserve"> and</w:t>
      </w:r>
    </w:p>
    <w:p w14:paraId="7739F8CF" w14:textId="07A27610" w:rsidR="0074365C" w:rsidRPr="001115C5" w:rsidRDefault="0074365C" w:rsidP="0074365C">
      <w:pPr>
        <w:spacing w:after="240"/>
        <w:rPr>
          <w:rFonts w:ascii="Helvetica Neue" w:hAnsi="Helvetica Neue" w:cs="Arial"/>
        </w:rPr>
      </w:pPr>
      <w:r w:rsidRPr="001115C5">
        <w:rPr>
          <w:rFonts w:ascii="Helvetica Neue" w:hAnsi="Helvetica Neue" w:cs="Arial"/>
        </w:rPr>
        <w:t>WHEREAS, young people are much more likely to use candy</w:t>
      </w:r>
      <w:r w:rsidR="00780166" w:rsidRPr="001115C5">
        <w:rPr>
          <w:rFonts w:ascii="Helvetica Neue" w:hAnsi="Helvetica Neue" w:cs="Arial"/>
        </w:rPr>
        <w:t xml:space="preserve"> – a</w:t>
      </w:r>
      <w:r w:rsidRPr="001115C5">
        <w:rPr>
          <w:rFonts w:ascii="Helvetica Neue" w:hAnsi="Helvetica Neue" w:cs="Arial"/>
        </w:rPr>
        <w:t>nd fruit-flavored tobacco</w:t>
      </w:r>
      <w:r w:rsidR="00780166" w:rsidRPr="001115C5">
        <w:rPr>
          <w:rStyle w:val="FootnoteReference"/>
          <w:rFonts w:ascii="Helvetica Neue" w:hAnsi="Helvetica Neue" w:cs="Arial"/>
        </w:rPr>
        <w:footnoteReference w:id="45"/>
      </w:r>
      <w:r w:rsidR="00A471D7" w:rsidRPr="001115C5">
        <w:rPr>
          <w:rFonts w:ascii="Helvetica Neue" w:hAnsi="Helvetica Neue" w:cs="Arial"/>
        </w:rPr>
        <w:t xml:space="preserve"> </w:t>
      </w:r>
      <w:r w:rsidR="00780166" w:rsidRPr="001115C5">
        <w:rPr>
          <w:rStyle w:val="FootnoteReference"/>
          <w:rFonts w:ascii="Helvetica Neue" w:hAnsi="Helvetica Neue" w:cs="Arial"/>
        </w:rPr>
        <w:footnoteReference w:id="46"/>
      </w:r>
      <w:r w:rsidR="00780166" w:rsidRPr="001115C5">
        <w:rPr>
          <w:rFonts w:ascii="Helvetica Neue" w:hAnsi="Helvetica Neue" w:cs="Arial"/>
        </w:rPr>
        <w:t xml:space="preserve"> </w:t>
      </w:r>
      <w:r w:rsidRPr="001115C5">
        <w:rPr>
          <w:rFonts w:ascii="Helvetica Neue" w:hAnsi="Helvetica Neue" w:cs="Arial"/>
        </w:rPr>
        <w:t>and alcohol products;</w:t>
      </w:r>
      <w:r w:rsidR="002530A9">
        <w:rPr>
          <w:rStyle w:val="FootnoteReference"/>
          <w:rFonts w:ascii="Helvetica Neue" w:hAnsi="Helvetica Neue" w:cs="Arial"/>
        </w:rPr>
        <w:footnoteReference w:id="47"/>
      </w:r>
      <w:r w:rsidRPr="001115C5">
        <w:rPr>
          <w:rFonts w:ascii="Helvetica Neue" w:hAnsi="Helvetica Neue" w:cs="Arial"/>
        </w:rPr>
        <w:t xml:space="preserve"> in California, youth were estimated to consume 47% of the alcopops (sweetened, </w:t>
      </w:r>
      <w:r w:rsidRPr="001115C5">
        <w:rPr>
          <w:rFonts w:ascii="Helvetica Neue" w:hAnsi="Helvetica Neue" w:cs="Arial"/>
        </w:rPr>
        <w:lastRenderedPageBreak/>
        <w:t>fruit-flavored alcoholic beverages) sold in the state in 2007,</w:t>
      </w:r>
      <w:r w:rsidR="002530A9">
        <w:rPr>
          <w:rStyle w:val="FootnoteReference"/>
          <w:rFonts w:ascii="Helvetica Neue" w:hAnsi="Helvetica Neue" w:cs="Arial"/>
        </w:rPr>
        <w:footnoteReference w:id="48"/>
      </w:r>
      <w:r w:rsidRPr="001115C5">
        <w:rPr>
          <w:rFonts w:ascii="Helvetica Neue" w:hAnsi="Helvetica Neue" w:cs="Arial"/>
        </w:rPr>
        <w:t xml:space="preserve"> and nationwide, minors are twice as likely to consume alcopops as adults;</w:t>
      </w:r>
      <w:r w:rsidR="009A038A" w:rsidRPr="001115C5">
        <w:rPr>
          <w:rStyle w:val="FootnoteReference"/>
          <w:rFonts w:ascii="Helvetica Neue" w:hAnsi="Helvetica Neue" w:cs="Arial"/>
        </w:rPr>
        <w:footnoteReference w:id="49"/>
      </w:r>
      <w:r w:rsidRPr="001115C5">
        <w:rPr>
          <w:rFonts w:ascii="Helvetica Neue" w:hAnsi="Helvetica Neue" w:cs="Arial"/>
        </w:rPr>
        <w:t xml:space="preserve"> the U.S. Food and Drug Administration and the U.S. Surgeon General have stated that flavored tobacco products are considered to be “starter” products that help establish smoking habits that can lead to long-term addiction;</w:t>
      </w:r>
      <w:r w:rsidR="003F5579" w:rsidRPr="001115C5">
        <w:rPr>
          <w:rStyle w:val="FootnoteReference"/>
          <w:rFonts w:ascii="Helvetica Neue" w:hAnsi="Helvetica Neue" w:cs="Arial"/>
        </w:rPr>
        <w:footnoteReference w:id="50"/>
      </w:r>
      <w:r w:rsidR="00A471D7" w:rsidRPr="001115C5">
        <w:rPr>
          <w:rFonts w:ascii="Helvetica Neue" w:hAnsi="Helvetica Neue" w:cs="Arial"/>
        </w:rPr>
        <w:t xml:space="preserve"> </w:t>
      </w:r>
      <w:r w:rsidR="00940ABD" w:rsidRPr="001115C5">
        <w:rPr>
          <w:rStyle w:val="FootnoteReference"/>
          <w:rFonts w:ascii="Helvetica Neue" w:hAnsi="Helvetica Neue" w:cs="Arial"/>
        </w:rPr>
        <w:footnoteReference w:id="51"/>
      </w:r>
      <w:r w:rsidRPr="001115C5">
        <w:rPr>
          <w:rFonts w:ascii="Helvetica Neue" w:hAnsi="Helvetica Neue" w:cs="Arial"/>
        </w:rPr>
        <w:t xml:space="preserve"> and similar findings are expected for cannabis; and</w:t>
      </w:r>
    </w:p>
    <w:p w14:paraId="72DE50E3" w14:textId="13DC8F6E" w:rsidR="0074365C" w:rsidRPr="001115C5" w:rsidRDefault="0074365C" w:rsidP="0074365C">
      <w:pPr>
        <w:spacing w:after="240"/>
        <w:rPr>
          <w:rFonts w:ascii="Helvetica Neue" w:hAnsi="Helvetica Neue" w:cs="Arial"/>
        </w:rPr>
      </w:pPr>
      <w:r w:rsidRPr="001115C5">
        <w:rPr>
          <w:rFonts w:ascii="Helvetica Neue" w:hAnsi="Helvetica Neue" w:cs="Arial"/>
        </w:rPr>
        <w:t>WHEREAS, the federal Family Smoking Prevention and Tobacco Control Act (FSPTCA), enacted in 2009, prohibited candy- and fruit-flavored cigarettes,</w:t>
      </w:r>
      <w:r w:rsidR="00FD1578" w:rsidRPr="001115C5">
        <w:rPr>
          <w:rStyle w:val="FootnoteReference"/>
          <w:rFonts w:ascii="Helvetica Neue" w:hAnsi="Helvetica Neue" w:cs="Arial"/>
        </w:rPr>
        <w:footnoteReference w:id="52"/>
      </w:r>
      <w:r w:rsidRPr="001115C5">
        <w:rPr>
          <w:rFonts w:ascii="Helvetica Neue" w:hAnsi="Helvetica Neue" w:cs="Arial"/>
        </w:rPr>
        <w:t xml:space="preserve"> and in 2020 FDA guidance prioritized enforcement against flavored e-cigarettes largely because these flavored products were marketed to youth and young adults,</w:t>
      </w:r>
      <w:r w:rsidR="00A65788" w:rsidRPr="001115C5">
        <w:rPr>
          <w:rStyle w:val="FootnoteReference"/>
          <w:rFonts w:ascii="Helvetica Neue" w:hAnsi="Helvetica Neue" w:cs="Arial"/>
        </w:rPr>
        <w:footnoteReference w:id="53"/>
      </w:r>
      <w:r w:rsidRPr="001115C5">
        <w:rPr>
          <w:rFonts w:ascii="Helvetica Neue" w:hAnsi="Helvetica Neue" w:cs="Arial"/>
        </w:rPr>
        <w:t xml:space="preserve"> and younger smokers were more likely to have tried these products than older smokers;</w:t>
      </w:r>
      <w:r w:rsidR="005F597F" w:rsidRPr="001115C5">
        <w:rPr>
          <w:rStyle w:val="FootnoteReference"/>
          <w:rFonts w:ascii="Helvetica Neue" w:hAnsi="Helvetica Neue" w:cs="Arial"/>
        </w:rPr>
        <w:footnoteReference w:id="54"/>
      </w:r>
      <w:r w:rsidRPr="001115C5">
        <w:rPr>
          <w:rFonts w:ascii="Helvetica Neue" w:hAnsi="Helvetica Neue" w:cs="Arial"/>
        </w:rPr>
        <w:t xml:space="preserve"> and similar findings are expected for flavored cannabis; and</w:t>
      </w:r>
    </w:p>
    <w:p w14:paraId="7608661B" w14:textId="0A62B906" w:rsidR="0074365C" w:rsidRPr="001115C5" w:rsidRDefault="0074365C" w:rsidP="0074365C">
      <w:pPr>
        <w:spacing w:after="240"/>
        <w:rPr>
          <w:rFonts w:ascii="Helvetica Neue" w:hAnsi="Helvetica Neue" w:cs="Arial"/>
        </w:rPr>
      </w:pPr>
      <w:proofErr w:type="gramStart"/>
      <w:r w:rsidRPr="001115C5">
        <w:rPr>
          <w:rFonts w:ascii="Helvetica Neue" w:hAnsi="Helvetica Neue" w:cs="Arial"/>
        </w:rPr>
        <w:t>WHEREAS,</w:t>
      </w:r>
      <w:proofErr w:type="gramEnd"/>
      <w:r w:rsidRPr="001115C5">
        <w:rPr>
          <w:rFonts w:ascii="Helvetica Neue" w:hAnsi="Helvetica Neue" w:cs="Arial"/>
        </w:rPr>
        <w:t xml:space="preserve"> tobacco companies have used flavorings such as mint and wintergreen in tobacco products as part of a “graduation strategy” to encourage new users to start with products with lower levels of nicotine and progress to products with higher levels of nicotine;</w:t>
      </w:r>
      <w:r w:rsidR="005F597F" w:rsidRPr="001115C5">
        <w:rPr>
          <w:rStyle w:val="FootnoteReference"/>
          <w:rFonts w:ascii="Helvetica Neue" w:hAnsi="Helvetica Neue" w:cs="Arial"/>
        </w:rPr>
        <w:footnoteReference w:id="55"/>
      </w:r>
      <w:r w:rsidRPr="001115C5">
        <w:rPr>
          <w:rFonts w:ascii="Helvetica Neue" w:hAnsi="Helvetica Neue" w:cs="Arial"/>
        </w:rPr>
        <w:t xml:space="preserve"> and similar practices are expected for cannabis; and</w:t>
      </w:r>
    </w:p>
    <w:p w14:paraId="70A7E586" w14:textId="402C1FAD" w:rsidR="0074365C" w:rsidRPr="001115C5" w:rsidRDefault="0074365C" w:rsidP="0074365C">
      <w:pPr>
        <w:spacing w:after="240"/>
        <w:rPr>
          <w:rFonts w:ascii="Helvetica Neue" w:hAnsi="Helvetica Neue" w:cs="Arial"/>
        </w:rPr>
      </w:pPr>
      <w:proofErr w:type="gramStart"/>
      <w:r w:rsidRPr="001115C5">
        <w:rPr>
          <w:rFonts w:ascii="Helvetica Neue" w:hAnsi="Helvetica Neue" w:cs="Arial"/>
        </w:rPr>
        <w:t>WHEREAS,</w:t>
      </w:r>
      <w:proofErr w:type="gramEnd"/>
      <w:r w:rsidRPr="001115C5">
        <w:rPr>
          <w:rFonts w:ascii="Helvetica Neue" w:hAnsi="Helvetica Neue" w:cs="Arial"/>
        </w:rPr>
        <w:t xml:space="preserve"> the State of California prohibited flavored tobacco products in August of 2020 because of this clear evidence that most youth initiation was through flavored products.</w:t>
      </w:r>
      <w:r w:rsidR="009B433C">
        <w:rPr>
          <w:rStyle w:val="FootnoteReference"/>
          <w:rFonts w:ascii="Helvetica Neue" w:hAnsi="Helvetica Neue" w:cs="Arial"/>
        </w:rPr>
        <w:footnoteReference w:id="56"/>
      </w:r>
    </w:p>
    <w:p w14:paraId="3D420FAC" w14:textId="00F73C11" w:rsidR="0074365C" w:rsidRPr="001115C5" w:rsidRDefault="0074365C" w:rsidP="0074365C">
      <w:pPr>
        <w:spacing w:after="240"/>
        <w:rPr>
          <w:rFonts w:ascii="Helvetica Neue" w:hAnsi="Helvetica Neue" w:cs="Arial"/>
        </w:rPr>
      </w:pPr>
      <w:proofErr w:type="gramStart"/>
      <w:r w:rsidRPr="001115C5">
        <w:rPr>
          <w:rFonts w:ascii="Helvetica Neue" w:hAnsi="Helvetica Neue" w:cs="Arial"/>
        </w:rPr>
        <w:t>WHEREAS,</w:t>
      </w:r>
      <w:proofErr w:type="gramEnd"/>
      <w:r w:rsidRPr="001115C5">
        <w:rPr>
          <w:rFonts w:ascii="Helvetica Neue" w:hAnsi="Helvetica Neue" w:cs="Arial"/>
        </w:rPr>
        <w:t xml:space="preserve"> edible cannabis products have become increasingly common and are available in a variety of flavors and forms that appeal to children and young adults,</w:t>
      </w:r>
      <w:r w:rsidR="005F597F" w:rsidRPr="001115C5">
        <w:rPr>
          <w:rStyle w:val="FootnoteReference"/>
          <w:rFonts w:ascii="Helvetica Neue" w:hAnsi="Helvetica Neue" w:cs="Arial"/>
        </w:rPr>
        <w:footnoteReference w:id="57"/>
      </w:r>
      <w:r w:rsidR="00A471D7" w:rsidRPr="001115C5">
        <w:rPr>
          <w:rFonts w:ascii="Helvetica Neue" w:hAnsi="Helvetica Neue" w:cs="Arial"/>
        </w:rPr>
        <w:t xml:space="preserve"> </w:t>
      </w:r>
      <w:r w:rsidR="004A0F9E" w:rsidRPr="001115C5">
        <w:rPr>
          <w:rStyle w:val="FootnoteReference"/>
          <w:rFonts w:ascii="Helvetica Neue" w:hAnsi="Helvetica Neue" w:cs="Arial"/>
        </w:rPr>
        <w:footnoteReference w:id="58"/>
      </w:r>
      <w:r w:rsidRPr="001115C5">
        <w:rPr>
          <w:rFonts w:ascii="Helvetica Neue" w:hAnsi="Helvetica Neue" w:cs="Arial"/>
        </w:rPr>
        <w:t xml:space="preserve"> including cotton candy, lollipops, gummy bears, brownies, chocolate chip cookies, “pot” tarts, Rice </w:t>
      </w:r>
      <w:proofErr w:type="spellStart"/>
      <w:r w:rsidRPr="001115C5">
        <w:rPr>
          <w:rFonts w:ascii="Helvetica Neue" w:hAnsi="Helvetica Neue" w:cs="Arial"/>
        </w:rPr>
        <w:t>Krispies</w:t>
      </w:r>
      <w:r w:rsidRPr="001115C5">
        <w:rPr>
          <w:rFonts w:ascii="Helvetica Neue" w:hAnsi="Helvetica Neue" w:cs="Arial"/>
          <w:vertAlign w:val="superscript"/>
        </w:rPr>
        <w:t>TM</w:t>
      </w:r>
      <w:proofErr w:type="spellEnd"/>
      <w:r w:rsidRPr="001115C5">
        <w:rPr>
          <w:rFonts w:ascii="Helvetica Neue" w:hAnsi="Helvetica Neue" w:cs="Arial"/>
        </w:rPr>
        <w:t xml:space="preserve"> bars, and bubble gum, apple, cherry, chocolate, grape, peach, strawberry, and vanilla flavors; and</w:t>
      </w:r>
    </w:p>
    <w:p w14:paraId="437BC132" w14:textId="03B0D435" w:rsidR="0074365C" w:rsidRPr="001115C5" w:rsidRDefault="0074365C" w:rsidP="0074365C">
      <w:pPr>
        <w:spacing w:after="240"/>
        <w:rPr>
          <w:rFonts w:ascii="Helvetica Neue" w:hAnsi="Helvetica Neue" w:cs="Arial"/>
        </w:rPr>
      </w:pPr>
      <w:r w:rsidRPr="001115C5">
        <w:rPr>
          <w:rFonts w:ascii="Helvetica Neue" w:hAnsi="Helvetica Neue" w:cs="Arial"/>
        </w:rPr>
        <w:t>WHEREAS, encouraging excessive growth and diversification of the legal edibles market, especially of products attractive to youth, may outweigh any benefits; and</w:t>
      </w:r>
    </w:p>
    <w:p w14:paraId="4D25F02F" w14:textId="27C817F1" w:rsidR="0074365C" w:rsidRPr="001115C5" w:rsidRDefault="0074365C" w:rsidP="0074365C">
      <w:pPr>
        <w:spacing w:after="240"/>
        <w:rPr>
          <w:rFonts w:ascii="Helvetica Neue" w:hAnsi="Helvetica Neue" w:cs="Arial"/>
        </w:rPr>
      </w:pPr>
      <w:r w:rsidRPr="001115C5">
        <w:rPr>
          <w:rFonts w:ascii="Helvetica Neue" w:hAnsi="Helvetica Neue" w:cs="Arial"/>
        </w:rPr>
        <w:lastRenderedPageBreak/>
        <w:t>WHEREAS the potency of cannabis and cannabis products has increased dramatically over the past decades from 4% tetrahydrocannabinol (THC) to 15-30+% THC in flower and up to 90% or more in extracted products,</w:t>
      </w:r>
      <w:r w:rsidR="00EF3550" w:rsidRPr="001115C5">
        <w:rPr>
          <w:rStyle w:val="FootnoteReference"/>
          <w:rFonts w:ascii="Helvetica Neue" w:hAnsi="Helvetica Neue" w:cs="Arial"/>
        </w:rPr>
        <w:footnoteReference w:id="59"/>
      </w:r>
      <w:r w:rsidR="00A471D7" w:rsidRPr="001115C5">
        <w:rPr>
          <w:rFonts w:ascii="Helvetica Neue" w:hAnsi="Helvetica Neue" w:cs="Arial"/>
        </w:rPr>
        <w:t xml:space="preserve"> </w:t>
      </w:r>
      <w:r w:rsidR="00955725" w:rsidRPr="001115C5">
        <w:rPr>
          <w:rStyle w:val="FootnoteReference"/>
          <w:rFonts w:ascii="Helvetica Neue" w:hAnsi="Helvetica Neue" w:cs="Arial"/>
        </w:rPr>
        <w:footnoteReference w:id="60"/>
      </w:r>
      <w:r w:rsidRPr="001115C5">
        <w:rPr>
          <w:rFonts w:ascii="Helvetica Neue" w:hAnsi="Helvetica Neue" w:cs="Arial"/>
        </w:rPr>
        <w:t xml:space="preserve"> and growing evidence clearly supports greater risk from these products; and</w:t>
      </w:r>
    </w:p>
    <w:p w14:paraId="0B7D1833" w14:textId="2F5F99D3" w:rsidR="0074365C" w:rsidRPr="001115C5" w:rsidRDefault="0074365C" w:rsidP="0074365C">
      <w:pPr>
        <w:spacing w:after="240"/>
        <w:rPr>
          <w:rFonts w:ascii="Helvetica Neue" w:hAnsi="Helvetica Neue" w:cs="Arial"/>
        </w:rPr>
      </w:pPr>
      <w:proofErr w:type="gramStart"/>
      <w:r w:rsidRPr="001115C5">
        <w:rPr>
          <w:rFonts w:ascii="Helvetica Neue" w:hAnsi="Helvetica Neue" w:cs="Arial"/>
        </w:rPr>
        <w:t>WHEREAS,</w:t>
      </w:r>
      <w:proofErr w:type="gramEnd"/>
      <w:r w:rsidRPr="001115C5">
        <w:rPr>
          <w:rFonts w:ascii="Helvetica Neue" w:hAnsi="Helvetica Neue" w:cs="Arial"/>
        </w:rPr>
        <w:t xml:space="preserve"> research in the state of Washington shows the market share of strains of cannabis flower in excess of 15% THC has grown to cover 92.5 percent of flower sales, and cannabis extracts for inhalation in excess of 60 percent THC are common;</w:t>
      </w:r>
      <w:r w:rsidR="00C24EEB" w:rsidRPr="001115C5">
        <w:rPr>
          <w:rStyle w:val="FootnoteReference"/>
          <w:rFonts w:ascii="Helvetica Neue" w:hAnsi="Helvetica Neue" w:cs="Arial"/>
        </w:rPr>
        <w:footnoteReference w:id="61"/>
      </w:r>
      <w:r w:rsidRPr="001115C5">
        <w:rPr>
          <w:rFonts w:ascii="Helvetica Neue" w:hAnsi="Helvetica Neue" w:cs="Arial"/>
        </w:rPr>
        <w:t xml:space="preserve"> and </w:t>
      </w:r>
    </w:p>
    <w:p w14:paraId="3E318AE1" w14:textId="4A7007B3" w:rsidR="0074365C" w:rsidRPr="001115C5" w:rsidRDefault="0074365C" w:rsidP="0074365C">
      <w:pPr>
        <w:spacing w:after="240"/>
        <w:rPr>
          <w:rFonts w:ascii="Helvetica Neue" w:hAnsi="Helvetica Neue" w:cs="Arial"/>
        </w:rPr>
      </w:pPr>
      <w:r w:rsidRPr="001115C5">
        <w:rPr>
          <w:rFonts w:ascii="Helvetica Neue" w:hAnsi="Helvetica Neue" w:cs="Arial"/>
        </w:rPr>
        <w:t xml:space="preserve">WHEREAS daily use of cannabis products over 10% THC </w:t>
      </w:r>
      <w:r w:rsidR="0002516C" w:rsidRPr="0002516C">
        <w:rPr>
          <w:rFonts w:ascii="Helvetica Neue" w:hAnsi="Helvetica Neue" w:cs="Arial"/>
        </w:rPr>
        <w:t xml:space="preserve">has been associated with </w:t>
      </w:r>
      <w:r w:rsidR="00E7113A" w:rsidRPr="0002516C">
        <w:rPr>
          <w:rFonts w:ascii="Helvetica Neue" w:hAnsi="Helvetica Neue" w:cs="Arial"/>
        </w:rPr>
        <w:t>fivefo</w:t>
      </w:r>
      <w:r w:rsidR="00E7113A">
        <w:rPr>
          <w:rFonts w:ascii="Helvetica Neue" w:hAnsi="Helvetica Neue" w:cs="Arial"/>
        </w:rPr>
        <w:t>ld</w:t>
      </w:r>
      <w:r w:rsidR="0002516C" w:rsidRPr="0002516C">
        <w:rPr>
          <w:rFonts w:ascii="Helvetica Neue" w:hAnsi="Helvetica Neue" w:cs="Arial"/>
        </w:rPr>
        <w:t xml:space="preserve"> higher odds</w:t>
      </w:r>
      <w:r w:rsidRPr="001115C5">
        <w:rPr>
          <w:rFonts w:ascii="Helvetica Neue" w:hAnsi="Helvetica Neue" w:cs="Arial"/>
        </w:rPr>
        <w:t xml:space="preserve"> </w:t>
      </w:r>
      <w:r w:rsidR="0002516C">
        <w:rPr>
          <w:rFonts w:ascii="Helvetica Neue" w:hAnsi="Helvetica Neue" w:cs="Arial"/>
        </w:rPr>
        <w:t xml:space="preserve">of </w:t>
      </w:r>
      <w:r w:rsidRPr="001115C5">
        <w:rPr>
          <w:rFonts w:ascii="Helvetica Neue" w:hAnsi="Helvetica Neue" w:cs="Arial"/>
        </w:rPr>
        <w:t>developing psychosis,</w:t>
      </w:r>
      <w:r w:rsidR="00510126">
        <w:rPr>
          <w:rStyle w:val="FootnoteReference"/>
          <w:rFonts w:ascii="Helvetica Neue" w:hAnsi="Helvetica Neue" w:cs="Arial"/>
        </w:rPr>
        <w:footnoteReference w:id="62"/>
      </w:r>
      <w:r w:rsidRPr="001115C5">
        <w:rPr>
          <w:rFonts w:ascii="Helvetica Neue" w:hAnsi="Helvetica Neue" w:cs="Arial"/>
        </w:rPr>
        <w:t xml:space="preserve"> and such daily use has greatly increased in the past decade amongst </w:t>
      </w:r>
      <w:proofErr w:type="gramStart"/>
      <w:r w:rsidRPr="001115C5">
        <w:rPr>
          <w:rFonts w:ascii="Helvetica Neue" w:hAnsi="Helvetica Neue" w:cs="Arial"/>
        </w:rPr>
        <w:t>youth;</w:t>
      </w:r>
      <w:proofErr w:type="gramEnd"/>
      <w:r w:rsidR="00864E02">
        <w:rPr>
          <w:rStyle w:val="FootnoteReference"/>
          <w:rFonts w:ascii="Helvetica Neue" w:hAnsi="Helvetica Neue" w:cs="Arial"/>
        </w:rPr>
        <w:footnoteReference w:id="63"/>
      </w:r>
      <w:r w:rsidR="009B6E6B">
        <w:rPr>
          <w:rFonts w:ascii="Helvetica Neue" w:hAnsi="Helvetica Neue" w:cs="Arial"/>
        </w:rPr>
        <w:t xml:space="preserve"> and</w:t>
      </w:r>
    </w:p>
    <w:p w14:paraId="44606F29" w14:textId="32015C6C" w:rsidR="0074365C" w:rsidRPr="001115C5" w:rsidRDefault="0074365C" w:rsidP="0074365C">
      <w:pPr>
        <w:spacing w:after="240"/>
        <w:rPr>
          <w:rFonts w:ascii="Helvetica Neue" w:hAnsi="Helvetica Neue" w:cs="Arial"/>
        </w:rPr>
      </w:pPr>
      <w:r w:rsidRPr="001115C5">
        <w:rPr>
          <w:rFonts w:ascii="Helvetica Neue" w:hAnsi="Helvetica Neue" w:cs="Arial"/>
        </w:rPr>
        <w:t xml:space="preserve">WHEREAS, the U.S. Centers for Disease Control and Prevention has reported that electronic cigarette use among middle and high school students dramatically increased from 2017 to 2018, up 78% among high schoolers and 48% among </w:t>
      </w:r>
      <w:r w:rsidR="00BF7C98" w:rsidRPr="001115C5">
        <w:rPr>
          <w:rFonts w:ascii="Helvetica Neue" w:hAnsi="Helvetica Neue" w:cs="Arial"/>
        </w:rPr>
        <w:t>middle schoolers</w:t>
      </w:r>
      <w:r w:rsidRPr="001115C5">
        <w:rPr>
          <w:rFonts w:ascii="Helvetica Neue" w:hAnsi="Helvetica Neue" w:cs="Arial"/>
        </w:rPr>
        <w:t>;</w:t>
      </w:r>
      <w:r w:rsidR="00413A95" w:rsidRPr="001115C5">
        <w:rPr>
          <w:rStyle w:val="FootnoteReference"/>
          <w:rFonts w:ascii="Helvetica Neue" w:hAnsi="Helvetica Neue" w:cs="Arial"/>
        </w:rPr>
        <w:footnoteReference w:id="64"/>
      </w:r>
      <w:r w:rsidRPr="001115C5">
        <w:rPr>
          <w:rFonts w:ascii="Helvetica Neue" w:hAnsi="Helvetica Neue" w:cs="Arial"/>
        </w:rPr>
        <w:t xml:space="preserve"> and use of similar devices for consumption of cannabis by youth has been rapidly increasing; and</w:t>
      </w:r>
    </w:p>
    <w:p w14:paraId="736DC1FC" w14:textId="5B816B05" w:rsidR="0074365C" w:rsidRPr="001115C5" w:rsidRDefault="0074365C" w:rsidP="0074365C">
      <w:pPr>
        <w:spacing w:after="240"/>
        <w:rPr>
          <w:rFonts w:ascii="Helvetica Neue" w:hAnsi="Helvetica Neue" w:cs="Arial"/>
        </w:rPr>
      </w:pPr>
      <w:r w:rsidRPr="001115C5">
        <w:rPr>
          <w:rFonts w:ascii="Helvetica Neue" w:hAnsi="Helvetica Neue" w:cs="Arial"/>
        </w:rPr>
        <w:t>WHEREAS, the California Attorney General has stated that electronic cigarette companies have targeted minors with fruit</w:t>
      </w:r>
      <w:r w:rsidR="00864E02">
        <w:rPr>
          <w:rFonts w:ascii="Helvetica Neue" w:hAnsi="Helvetica Neue" w:cs="Arial"/>
        </w:rPr>
        <w:t xml:space="preserve"> and other </w:t>
      </w:r>
      <w:r w:rsidRPr="001115C5">
        <w:rPr>
          <w:rFonts w:ascii="Helvetica Neue" w:hAnsi="Helvetica Neue" w:cs="Arial"/>
        </w:rPr>
        <w:t>flavored products;</w:t>
      </w:r>
      <w:r w:rsidR="00CD70F8" w:rsidRPr="001115C5">
        <w:rPr>
          <w:rStyle w:val="FootnoteReference"/>
          <w:rFonts w:ascii="Helvetica Neue" w:hAnsi="Helvetica Neue" w:cs="Arial"/>
        </w:rPr>
        <w:footnoteReference w:id="65"/>
      </w:r>
      <w:r w:rsidRPr="001115C5">
        <w:rPr>
          <w:rFonts w:ascii="Helvetica Neue" w:hAnsi="Helvetica Neue" w:cs="Arial"/>
        </w:rPr>
        <w:t xml:space="preserve"> and similar products are expanding in the cannabis industry; and</w:t>
      </w:r>
    </w:p>
    <w:p w14:paraId="2DD6F042" w14:textId="3B5EE8BD" w:rsidR="0074365C" w:rsidRPr="001115C5" w:rsidRDefault="0074365C" w:rsidP="0074365C">
      <w:pPr>
        <w:spacing w:after="240"/>
        <w:rPr>
          <w:rFonts w:ascii="Helvetica Neue" w:hAnsi="Helvetica Neue" w:cs="Arial"/>
        </w:rPr>
      </w:pPr>
      <w:proofErr w:type="gramStart"/>
      <w:r w:rsidRPr="001115C5">
        <w:rPr>
          <w:rFonts w:ascii="Helvetica Neue" w:hAnsi="Helvetica Neue" w:cs="Arial"/>
        </w:rPr>
        <w:t>WHEREAS,</w:t>
      </w:r>
      <w:proofErr w:type="gramEnd"/>
      <w:r w:rsidRPr="001115C5">
        <w:rPr>
          <w:rFonts w:ascii="Helvetica Neue" w:hAnsi="Helvetica Neue" w:cs="Arial"/>
        </w:rPr>
        <w:t xml:space="preserve"> low prices are known to facilitate use of tobacco by minors</w:t>
      </w:r>
      <w:r w:rsidR="00491778" w:rsidRPr="001115C5">
        <w:rPr>
          <w:rStyle w:val="FootnoteReference"/>
          <w:rFonts w:ascii="Helvetica Neue" w:hAnsi="Helvetica Neue" w:cs="Arial"/>
        </w:rPr>
        <w:footnoteReference w:id="66"/>
      </w:r>
      <w:r w:rsidRPr="001115C5">
        <w:rPr>
          <w:rFonts w:ascii="Helvetica Neue" w:hAnsi="Helvetica Neue" w:cs="Arial"/>
        </w:rPr>
        <w:t xml:space="preserve"> and while prices of cannabis should not be so high as to promote illegal sales, they should also not be artificially lowered through discounting or depressed by overproduction; and</w:t>
      </w:r>
    </w:p>
    <w:p w14:paraId="0A929499" w14:textId="29ECE87A" w:rsidR="0074365C" w:rsidRPr="001115C5" w:rsidRDefault="0074365C" w:rsidP="0074365C">
      <w:pPr>
        <w:spacing w:after="240"/>
        <w:rPr>
          <w:rFonts w:ascii="Helvetica Neue" w:hAnsi="Helvetica Neue" w:cs="Arial"/>
        </w:rPr>
      </w:pPr>
      <w:proofErr w:type="gramStart"/>
      <w:r w:rsidRPr="001115C5">
        <w:rPr>
          <w:rFonts w:ascii="Helvetica Neue" w:hAnsi="Helvetica Neue" w:cs="Arial"/>
        </w:rPr>
        <w:t>WHEREAS,</w:t>
      </w:r>
      <w:proofErr w:type="gramEnd"/>
      <w:r w:rsidRPr="001115C5">
        <w:rPr>
          <w:rFonts w:ascii="Helvetica Neue" w:hAnsi="Helvetica Neue" w:cs="Arial"/>
        </w:rPr>
        <w:t xml:space="preserve"> research demonstrates that youth are particularly price sensitive and responsive to changes in price,</w:t>
      </w:r>
      <w:r w:rsidR="00AA375A" w:rsidRPr="001115C5">
        <w:rPr>
          <w:rStyle w:val="FootnoteReference"/>
          <w:rFonts w:ascii="Helvetica Neue" w:hAnsi="Helvetica Neue" w:cs="Arial"/>
        </w:rPr>
        <w:footnoteReference w:id="67"/>
      </w:r>
      <w:r w:rsidRPr="001115C5">
        <w:rPr>
          <w:rFonts w:ascii="Helvetica Neue" w:hAnsi="Helvetica Neue" w:cs="Arial"/>
        </w:rPr>
        <w:t xml:space="preserve"> and in the case of tobacco, when cigarettes cost more, fewer adolescents start smoking,</w:t>
      </w:r>
      <w:r w:rsidR="00AA375A" w:rsidRPr="001115C5">
        <w:rPr>
          <w:rStyle w:val="FootnoteReference"/>
          <w:rFonts w:ascii="Helvetica Neue" w:hAnsi="Helvetica Neue" w:cs="Arial"/>
        </w:rPr>
        <w:footnoteReference w:id="68"/>
      </w:r>
      <w:r w:rsidRPr="001115C5">
        <w:rPr>
          <w:rFonts w:ascii="Helvetica Neue" w:hAnsi="Helvetica Neue" w:cs="Arial"/>
        </w:rPr>
        <w:t xml:space="preserve"> and similar findings are expected for cannabis; and</w:t>
      </w:r>
    </w:p>
    <w:p w14:paraId="342380E3" w14:textId="7C4CDB2D" w:rsidR="0074365C" w:rsidRPr="001115C5" w:rsidRDefault="0074365C" w:rsidP="0074365C">
      <w:pPr>
        <w:spacing w:after="240"/>
        <w:rPr>
          <w:rFonts w:ascii="Helvetica Neue" w:hAnsi="Helvetica Neue" w:cs="Arial"/>
        </w:rPr>
      </w:pPr>
      <w:r w:rsidRPr="001115C5">
        <w:rPr>
          <w:rFonts w:ascii="Helvetica Neue" w:hAnsi="Helvetica Neue" w:cs="Arial"/>
        </w:rPr>
        <w:lastRenderedPageBreak/>
        <w:t>WHEREAS, while the sale of cannabis for adult use has been legalized in California, it continues to be a Schedule I prohibited substance federally and therefore presents special challenges in multiple federally regulated spheres including banking, broadcasting and immigration; and</w:t>
      </w:r>
    </w:p>
    <w:p w14:paraId="11E37102" w14:textId="307AE40A" w:rsidR="0074365C" w:rsidRPr="001115C5" w:rsidRDefault="0074365C" w:rsidP="0074365C">
      <w:pPr>
        <w:spacing w:after="240"/>
        <w:rPr>
          <w:rFonts w:ascii="Helvetica Neue" w:hAnsi="Helvetica Neue" w:cs="Arial"/>
        </w:rPr>
      </w:pPr>
      <w:proofErr w:type="gramStart"/>
      <w:r w:rsidRPr="001115C5">
        <w:rPr>
          <w:rFonts w:ascii="Helvetica Neue" w:hAnsi="Helvetica Neue" w:cs="Arial"/>
        </w:rPr>
        <w:t>WHEREAS,</w:t>
      </w:r>
      <w:proofErr w:type="gramEnd"/>
      <w:r w:rsidRPr="001115C5">
        <w:rPr>
          <w:rFonts w:ascii="Helvetica Neue" w:hAnsi="Helvetica Neue" w:cs="Arial"/>
        </w:rPr>
        <w:t xml:space="preserve"> state law establishes that cannabis and cannabis products may not be advertised or marketed in a manner intended to encourage persons under 21 years of age to consume cannabis or cannabis products; nor may advertising or marketing that is attractive to children be published or disseminated (Cal. Bus. &amp; Prof. Code § 26152(e)-(f)); and</w:t>
      </w:r>
    </w:p>
    <w:p w14:paraId="220AB2D9" w14:textId="5C34DF90" w:rsidR="0074365C" w:rsidRPr="001115C5" w:rsidRDefault="0074365C" w:rsidP="0074365C">
      <w:pPr>
        <w:spacing w:after="240"/>
        <w:rPr>
          <w:rFonts w:ascii="Helvetica Neue" w:hAnsi="Helvetica Neue" w:cs="Arial"/>
        </w:rPr>
      </w:pPr>
      <w:proofErr w:type="gramStart"/>
      <w:r w:rsidRPr="001115C5">
        <w:rPr>
          <w:rFonts w:ascii="Helvetica Neue" w:hAnsi="Helvetica Neue" w:cs="Arial"/>
        </w:rPr>
        <w:t>WHEREAS,</w:t>
      </w:r>
      <w:proofErr w:type="gramEnd"/>
      <w:r w:rsidRPr="001115C5">
        <w:rPr>
          <w:rFonts w:ascii="Helvetica Neue" w:hAnsi="Helvetica Neue" w:cs="Arial"/>
        </w:rPr>
        <w:t xml:space="preserve"> youth exposure to advertising of products such as alcohol, tobacco and food has been shown to create positive attitudes, brand identification, and an increased likelihood of initiation and use of these products;</w:t>
      </w:r>
      <w:r w:rsidR="00AA375A" w:rsidRPr="001115C5">
        <w:rPr>
          <w:rStyle w:val="FootnoteReference"/>
          <w:rFonts w:ascii="Helvetica Neue" w:hAnsi="Helvetica Neue" w:cs="Arial"/>
        </w:rPr>
        <w:footnoteReference w:id="69"/>
      </w:r>
      <w:r w:rsidR="00A471D7" w:rsidRPr="001115C5">
        <w:rPr>
          <w:rFonts w:ascii="Helvetica Neue" w:hAnsi="Helvetica Neue" w:cs="Arial"/>
        </w:rPr>
        <w:t xml:space="preserve"> </w:t>
      </w:r>
      <w:r w:rsidR="00AA375A" w:rsidRPr="001115C5">
        <w:rPr>
          <w:rStyle w:val="FootnoteReference"/>
          <w:rFonts w:ascii="Helvetica Neue" w:hAnsi="Helvetica Neue" w:cs="Arial"/>
        </w:rPr>
        <w:footnoteReference w:id="70"/>
      </w:r>
      <w:r w:rsidR="00A471D7" w:rsidRPr="001115C5">
        <w:rPr>
          <w:rFonts w:ascii="Helvetica Neue" w:hAnsi="Helvetica Neue" w:cs="Arial"/>
        </w:rPr>
        <w:t xml:space="preserve"> </w:t>
      </w:r>
      <w:r w:rsidR="00F45DE1" w:rsidRPr="001115C5">
        <w:rPr>
          <w:rStyle w:val="FootnoteReference"/>
          <w:rFonts w:ascii="Helvetica Neue" w:hAnsi="Helvetica Neue" w:cs="Arial"/>
        </w:rPr>
        <w:footnoteReference w:id="71"/>
      </w:r>
      <w:r w:rsidRPr="001115C5">
        <w:rPr>
          <w:rFonts w:ascii="Helvetica Neue" w:hAnsi="Helvetica Neue" w:cs="Arial"/>
        </w:rPr>
        <w:t xml:space="preserve"> and</w:t>
      </w:r>
    </w:p>
    <w:p w14:paraId="2FE3C0B5" w14:textId="38C8D9A4" w:rsidR="0074365C" w:rsidRPr="001115C5" w:rsidRDefault="0074365C" w:rsidP="005C3399">
      <w:pPr>
        <w:spacing w:after="360"/>
        <w:rPr>
          <w:rFonts w:ascii="Helvetica Neue" w:hAnsi="Helvetica Neue" w:cs="Arial"/>
        </w:rPr>
      </w:pPr>
      <w:r w:rsidRPr="001115C5">
        <w:rPr>
          <w:rFonts w:ascii="Helvetica Neue" w:hAnsi="Helvetica Neue" w:cs="Arial"/>
        </w:rPr>
        <w:t xml:space="preserve">NOW THEREFORE, it is the intent of the </w:t>
      </w:r>
      <w:r w:rsidRPr="001115C5">
        <w:rPr>
          <w:rFonts w:ascii="Helvetica Neue" w:hAnsi="Helvetica Neue" w:cs="Arial"/>
          <w:color w:val="FF0000"/>
        </w:rPr>
        <w:t>[City Council/Board of Supervisors]</w:t>
      </w:r>
      <w:r w:rsidRPr="001115C5">
        <w:rPr>
          <w:rFonts w:ascii="Helvetica Neue" w:hAnsi="Helvetica Neue" w:cs="Arial"/>
        </w:rPr>
        <w:t>, in enacting this ordinance, to ensure responsible cannabis retailing, allowing legal sale and access, without promoting increases in use, and to discourage violations of cannabis-related laws, especially those which prohibit or discourage the marketing, sale or distribution of cannabis and cannabis products to youth under 21 years of age.</w:t>
      </w:r>
    </w:p>
    <w:tbl>
      <w:tblPr>
        <w:tblStyle w:val="TableGrid"/>
        <w:tblW w:w="10260" w:type="dxa"/>
        <w:tblInd w:w="108" w:type="dxa"/>
        <w:tblLook w:val="04A0" w:firstRow="1" w:lastRow="0" w:firstColumn="1" w:lastColumn="0" w:noHBand="0" w:noVBand="1"/>
      </w:tblPr>
      <w:tblGrid>
        <w:gridCol w:w="10260"/>
      </w:tblGrid>
      <w:tr w:rsidR="005C3399" w:rsidRPr="001115C5" w14:paraId="2745C74F" w14:textId="77777777" w:rsidTr="007765EB">
        <w:tc>
          <w:tcPr>
            <w:tcW w:w="10260" w:type="dxa"/>
            <w:shd w:val="clear" w:color="auto" w:fill="D9D9D9" w:themeFill="background1" w:themeFillShade="D9"/>
          </w:tcPr>
          <w:p w14:paraId="3695AE20" w14:textId="6B5D4DBF" w:rsidR="005C3399" w:rsidRPr="001115C5" w:rsidRDefault="005C3399" w:rsidP="005C3399">
            <w:pPr>
              <w:spacing w:before="280" w:after="120" w:line="360" w:lineRule="auto"/>
              <w:rPr>
                <w:rFonts w:ascii="Helvetica Neue" w:eastAsia="Helvetica Neue" w:hAnsi="Helvetica Neue" w:cs="Arial"/>
              </w:rPr>
            </w:pPr>
            <w:r w:rsidRPr="001115C5">
              <w:rPr>
                <w:rFonts w:ascii="Helvetica Neue" w:eastAsia="Helvetica Neue" w:hAnsi="Helvetica Neue" w:cs="Arial"/>
                <w:b/>
                <w:bCs/>
                <w:shd w:val="clear" w:color="auto" w:fill="D9D9D9" w:themeFill="background1" w:themeFillShade="D9"/>
              </w:rPr>
              <w:t>COMMENT:</w:t>
            </w:r>
            <w:r w:rsidRPr="001115C5">
              <w:rPr>
                <w:rFonts w:ascii="Helvetica Neue" w:eastAsia="Helvetica Neue" w:hAnsi="Helvetica Neue" w:cs="Arial"/>
              </w:rPr>
              <w:t xml:space="preserve"> These findings lay out the policy rationale for the ordinance. It is not necessary to include all of the findings in your ordinance, but policymakers may find it helpful to state the ordinance’s rationale. Findings should be tailored to the needs of your community and the content of your ordinance.</w:t>
            </w:r>
          </w:p>
        </w:tc>
      </w:tr>
    </w:tbl>
    <w:p w14:paraId="6302574C" w14:textId="77777777" w:rsidR="005C3399" w:rsidRPr="001115C5" w:rsidRDefault="005C3399" w:rsidP="0074365C">
      <w:pPr>
        <w:spacing w:after="240"/>
        <w:rPr>
          <w:rFonts w:ascii="Helvetica Neue" w:hAnsi="Helvetica Neue" w:cs="Arial"/>
        </w:rPr>
        <w:sectPr w:rsidR="005C3399" w:rsidRPr="001115C5" w:rsidSect="00560B23">
          <w:pgSz w:w="12240" w:h="15840"/>
          <w:pgMar w:top="1440" w:right="1080" w:bottom="1440" w:left="1080" w:header="288" w:footer="432" w:gutter="0"/>
          <w:cols w:space="720"/>
          <w:docGrid w:linePitch="360"/>
        </w:sectPr>
      </w:pPr>
    </w:p>
    <w:p w14:paraId="0F9DA226" w14:textId="28C8836F" w:rsidR="00F60A30" w:rsidRPr="001115C5" w:rsidRDefault="00F60A30" w:rsidP="004B7808">
      <w:pPr>
        <w:pStyle w:val="Heading2"/>
        <w:spacing w:before="240" w:after="240"/>
        <w:rPr>
          <w:rFonts w:ascii="Helvetica Neue" w:hAnsi="Helvetica Neue"/>
        </w:rPr>
      </w:pPr>
      <w:bookmarkStart w:id="4" w:name="_Toc65578292"/>
      <w:r w:rsidRPr="001115C5">
        <w:rPr>
          <w:rFonts w:ascii="Helvetica Neue" w:hAnsi="Helvetica Neue"/>
        </w:rPr>
        <w:lastRenderedPageBreak/>
        <w:t>SECTION II. RETAIL OPERATIONS</w:t>
      </w:r>
      <w:bookmarkEnd w:id="4"/>
    </w:p>
    <w:p w14:paraId="30305BA7" w14:textId="778F673C" w:rsidR="00F60A30" w:rsidRPr="001115C5" w:rsidRDefault="008B35D9" w:rsidP="00F60A30">
      <w:pPr>
        <w:spacing w:after="240"/>
        <w:rPr>
          <w:rFonts w:ascii="Helvetica Neue" w:hAnsi="Helvetica Neue" w:cs="Arial"/>
        </w:rPr>
      </w:pPr>
      <w:r w:rsidRPr="001115C5">
        <w:rPr>
          <w:rFonts w:ascii="Helvetica Neue" w:hAnsi="Helvetica Neue" w:cs="Arial"/>
          <w:color w:val="FF0000"/>
        </w:rPr>
        <w:t>[Article/Chapter]</w:t>
      </w:r>
      <w:r w:rsidR="00F60A30" w:rsidRPr="001115C5">
        <w:rPr>
          <w:rFonts w:ascii="Helvetica Neue" w:hAnsi="Helvetica Neue" w:cs="Arial"/>
        </w:rPr>
        <w:t xml:space="preserve"> of the </w:t>
      </w:r>
      <w:r w:rsidR="00F60A30" w:rsidRPr="001115C5">
        <w:rPr>
          <w:rFonts w:ascii="Helvetica Neue" w:hAnsi="Helvetica Neue" w:cs="Arial"/>
          <w:color w:val="FF0000"/>
        </w:rPr>
        <w:t>[__________]</w:t>
      </w:r>
      <w:r w:rsidR="00F60A30" w:rsidRPr="001115C5">
        <w:rPr>
          <w:rFonts w:ascii="Helvetica Neue" w:hAnsi="Helvetica Neue" w:cs="Arial"/>
        </w:rPr>
        <w:t xml:space="preserve"> Code is hereby amended to read as follows:</w:t>
      </w:r>
    </w:p>
    <w:p w14:paraId="03F5EF2A" w14:textId="29BE65DA" w:rsidR="00F60A30" w:rsidRPr="001115C5" w:rsidRDefault="00F60A30" w:rsidP="00312BD2">
      <w:pPr>
        <w:pStyle w:val="Heading3"/>
        <w:spacing w:before="480" w:after="240"/>
        <w:rPr>
          <w:rFonts w:ascii="Helvetica Neue" w:hAnsi="Helvetica Neue"/>
        </w:rPr>
      </w:pPr>
      <w:bookmarkStart w:id="5" w:name="_Toc65578293"/>
      <w:r w:rsidRPr="001115C5">
        <w:rPr>
          <w:rFonts w:ascii="Helvetica Neue" w:hAnsi="Helvetica Neue"/>
        </w:rPr>
        <w:t>Section A. DEFINITIONS</w:t>
      </w:r>
      <w:bookmarkEnd w:id="5"/>
    </w:p>
    <w:p w14:paraId="7449E049" w14:textId="49D1BFD1" w:rsidR="00F60A30" w:rsidRPr="001115C5" w:rsidRDefault="00F60A30" w:rsidP="00F60A30">
      <w:pPr>
        <w:spacing w:after="240"/>
        <w:rPr>
          <w:rFonts w:ascii="Helvetica Neue" w:hAnsi="Helvetica Neue" w:cs="Arial"/>
        </w:rPr>
      </w:pPr>
      <w:r w:rsidRPr="001115C5">
        <w:rPr>
          <w:rFonts w:ascii="Helvetica Neue" w:hAnsi="Helvetica Neue" w:cs="Arial"/>
        </w:rPr>
        <w:t xml:space="preserve">The following words and phrases, whenever used in this </w:t>
      </w:r>
      <w:r w:rsidR="008B35D9" w:rsidRPr="001115C5">
        <w:rPr>
          <w:rFonts w:ascii="Helvetica Neue" w:hAnsi="Helvetica Neue" w:cs="Arial"/>
          <w:color w:val="FF0000"/>
        </w:rPr>
        <w:t>[Article/Chapter]</w:t>
      </w:r>
      <w:r w:rsidRPr="001115C5">
        <w:rPr>
          <w:rFonts w:ascii="Helvetica Neue" w:hAnsi="Helvetica Neue" w:cs="Arial"/>
        </w:rPr>
        <w:t xml:space="preserve"> shall have the meanings defined in this section unless the context clearly requires otherwise:</w:t>
      </w:r>
    </w:p>
    <w:p w14:paraId="512E5165" w14:textId="2CAEB28C" w:rsidR="00F60A30" w:rsidRPr="001115C5" w:rsidRDefault="00F60A30" w:rsidP="004B7808">
      <w:pPr>
        <w:pStyle w:val="ListParagraph"/>
        <w:numPr>
          <w:ilvl w:val="0"/>
          <w:numId w:val="4"/>
        </w:numPr>
        <w:spacing w:after="240"/>
        <w:contextualSpacing w:val="0"/>
        <w:rPr>
          <w:rFonts w:ascii="Helvetica Neue" w:hAnsi="Helvetica Neue" w:cs="Arial"/>
        </w:rPr>
      </w:pPr>
      <w:r w:rsidRPr="001115C5">
        <w:rPr>
          <w:rFonts w:ascii="Helvetica Neue" w:hAnsi="Helvetica Neue" w:cs="Arial"/>
          <w:b/>
          <w:bCs/>
        </w:rPr>
        <w:t>"Advertise"</w:t>
      </w:r>
      <w:r w:rsidRPr="001115C5">
        <w:rPr>
          <w:rFonts w:ascii="Helvetica Neue" w:hAnsi="Helvetica Neue" w:cs="Arial"/>
        </w:rPr>
        <w:t xml:space="preserve"> means to publish or disseminate an Advertisement.</w:t>
      </w:r>
    </w:p>
    <w:p w14:paraId="6E916FA5" w14:textId="77777777" w:rsidR="004B7808" w:rsidRPr="001115C5" w:rsidRDefault="00F60A30" w:rsidP="00F60A30">
      <w:pPr>
        <w:pStyle w:val="ListParagraph"/>
        <w:numPr>
          <w:ilvl w:val="0"/>
          <w:numId w:val="4"/>
        </w:numPr>
        <w:spacing w:after="240"/>
        <w:contextualSpacing w:val="0"/>
        <w:rPr>
          <w:rFonts w:ascii="Helvetica Neue" w:hAnsi="Helvetica Neue" w:cs="Arial"/>
        </w:rPr>
      </w:pPr>
      <w:r w:rsidRPr="001115C5">
        <w:rPr>
          <w:rFonts w:ascii="Helvetica Neue" w:hAnsi="Helvetica Neue" w:cs="Arial"/>
          <w:b/>
          <w:bCs/>
        </w:rPr>
        <w:t>“Advertisement"</w:t>
      </w:r>
      <w:r w:rsidRPr="001115C5">
        <w:rPr>
          <w:rFonts w:ascii="Helvetica Neue" w:hAnsi="Helvetica Neue" w:cs="Arial"/>
        </w:rPr>
        <w:t xml:space="preserve"> means any written or verbal statement, illustration, or depiction, which a reasonable person would understand as intended to induce sales of Cannabis or Cannabis Products, including any written, printed, graphic, or other material; billboard, sign, or other outdoor, digital, indoor or point-of-sale display including, without limitation, an individual carrying a display; public transit card, other periodical, literature or publication; or in any similar media; except that ”advertisement” shall not include:</w:t>
      </w:r>
    </w:p>
    <w:p w14:paraId="6B78E853" w14:textId="5B9CCC1A" w:rsidR="004B7808" w:rsidRPr="001115C5" w:rsidRDefault="00F60A30" w:rsidP="007D0948">
      <w:pPr>
        <w:pStyle w:val="ListParagraph"/>
        <w:numPr>
          <w:ilvl w:val="1"/>
          <w:numId w:val="4"/>
        </w:numPr>
        <w:spacing w:after="240"/>
        <w:ind w:left="792"/>
        <w:contextualSpacing w:val="0"/>
        <w:rPr>
          <w:rFonts w:ascii="Helvetica Neue" w:hAnsi="Helvetica Neue" w:cs="Arial"/>
        </w:rPr>
      </w:pPr>
      <w:r w:rsidRPr="001115C5">
        <w:rPr>
          <w:rFonts w:ascii="Helvetica Neue" w:hAnsi="Helvetica Neue" w:cs="Arial"/>
        </w:rPr>
        <w:t xml:space="preserve">Any label affixed to any Cannabis or Cannabis Products, or any individual covering, carton, or other wrapper of such container that constitutes a part of the labeling under provisions of this </w:t>
      </w:r>
      <w:r w:rsidR="008B35D9" w:rsidRPr="001115C5">
        <w:rPr>
          <w:rFonts w:ascii="Helvetica Neue" w:hAnsi="Helvetica Neue" w:cs="Arial"/>
          <w:color w:val="FF0000"/>
        </w:rPr>
        <w:t>[Article/Chapter]</w:t>
      </w:r>
      <w:r w:rsidRPr="001115C5">
        <w:rPr>
          <w:rFonts w:ascii="Helvetica Neue" w:hAnsi="Helvetica Neue" w:cs="Arial"/>
        </w:rPr>
        <w:t>.</w:t>
      </w:r>
    </w:p>
    <w:p w14:paraId="33D8E368" w14:textId="77777777" w:rsidR="00BA5361" w:rsidRPr="001115C5" w:rsidRDefault="00F60A30" w:rsidP="007D0948">
      <w:pPr>
        <w:pStyle w:val="ListParagraph"/>
        <w:numPr>
          <w:ilvl w:val="1"/>
          <w:numId w:val="4"/>
        </w:numPr>
        <w:spacing w:after="240"/>
        <w:ind w:left="792"/>
        <w:contextualSpacing w:val="0"/>
        <w:rPr>
          <w:rFonts w:ascii="Helvetica Neue" w:hAnsi="Helvetica Neue" w:cs="Arial"/>
        </w:rPr>
      </w:pPr>
      <w:r w:rsidRPr="001115C5">
        <w:rPr>
          <w:rFonts w:ascii="Helvetica Neue" w:hAnsi="Helvetica Neue" w:cs="Arial"/>
        </w:rPr>
        <w:t>Any editorial or other reading material (e.g., news release) in any periodical or publication or newspaper for the publication of which no money or valuable consideration is paid or promised, directly or indirectly.</w:t>
      </w:r>
    </w:p>
    <w:p w14:paraId="14DD3CE2" w14:textId="1610273E" w:rsidR="00BA5361" w:rsidRPr="001115C5" w:rsidRDefault="00F60A30" w:rsidP="00F60A30">
      <w:pPr>
        <w:pStyle w:val="ListParagraph"/>
        <w:numPr>
          <w:ilvl w:val="0"/>
          <w:numId w:val="4"/>
        </w:numPr>
        <w:spacing w:after="240"/>
        <w:contextualSpacing w:val="0"/>
        <w:rPr>
          <w:rFonts w:ascii="Helvetica Neue" w:hAnsi="Helvetica Neue" w:cs="Arial"/>
        </w:rPr>
      </w:pPr>
      <w:r w:rsidRPr="001115C5">
        <w:rPr>
          <w:rFonts w:ascii="Helvetica Neue" w:hAnsi="Helvetica Neue" w:cs="Arial"/>
          <w:b/>
          <w:bCs/>
        </w:rPr>
        <w:t>“Advertising Sign”</w:t>
      </w:r>
      <w:r w:rsidRPr="001115C5">
        <w:rPr>
          <w:rFonts w:ascii="Helvetica Neue" w:hAnsi="Helvetica Neue" w:cs="Arial"/>
        </w:rPr>
        <w:t xml:space="preserve"> means any sign, poster, display, billboard, or any other stationary, permanently affixed, or mobile advertisement promoting the sale of Cannabis or Cannabis Products that are not cultivated, manufactured, or distributed, or sold on the same lot or parcel.</w:t>
      </w:r>
    </w:p>
    <w:p w14:paraId="57EC0F34" w14:textId="5591FF66" w:rsidR="00BA5361" w:rsidRPr="001115C5" w:rsidRDefault="00F60A30" w:rsidP="00F60A30">
      <w:pPr>
        <w:pStyle w:val="ListParagraph"/>
        <w:numPr>
          <w:ilvl w:val="0"/>
          <w:numId w:val="4"/>
        </w:numPr>
        <w:spacing w:after="240"/>
        <w:contextualSpacing w:val="0"/>
        <w:rPr>
          <w:rFonts w:ascii="Helvetica Neue" w:hAnsi="Helvetica Neue" w:cs="Arial"/>
        </w:rPr>
      </w:pPr>
      <w:r w:rsidRPr="001115C5">
        <w:rPr>
          <w:rFonts w:ascii="Helvetica Neue" w:hAnsi="Helvetica Neue" w:cs="Arial"/>
          <w:b/>
          <w:bCs/>
        </w:rPr>
        <w:t>“Arm’s Length Transaction”</w:t>
      </w:r>
      <w:r w:rsidRPr="001115C5">
        <w:rPr>
          <w:rFonts w:ascii="Helvetica Neue" w:hAnsi="Helvetica Neue" w:cs="Arial"/>
        </w:rPr>
        <w:t xml:space="preserve"> means a sale in good faith and for valuable consideration that reflects fair market value. A sale between relatives, related companies or partners, or a sale for which a significant purpose is avoiding the requirements of this </w:t>
      </w:r>
      <w:r w:rsidR="008B35D9" w:rsidRPr="001115C5">
        <w:rPr>
          <w:rFonts w:ascii="Helvetica Neue" w:hAnsi="Helvetica Neue" w:cs="Arial"/>
          <w:color w:val="FF0000"/>
        </w:rPr>
        <w:t>[Article/Chapter]</w:t>
      </w:r>
      <w:r w:rsidRPr="001115C5">
        <w:rPr>
          <w:rFonts w:ascii="Helvetica Neue" w:hAnsi="Helvetica Neue" w:cs="Arial"/>
        </w:rPr>
        <w:t xml:space="preserve"> is not an Arm’s Length Transaction.</w:t>
      </w:r>
    </w:p>
    <w:p w14:paraId="2D196EEF" w14:textId="77777777" w:rsidR="00BA5361" w:rsidRPr="001115C5" w:rsidRDefault="00F60A30" w:rsidP="00F60A30">
      <w:pPr>
        <w:pStyle w:val="ListParagraph"/>
        <w:numPr>
          <w:ilvl w:val="0"/>
          <w:numId w:val="4"/>
        </w:numPr>
        <w:spacing w:after="240"/>
        <w:contextualSpacing w:val="0"/>
        <w:rPr>
          <w:rFonts w:ascii="Helvetica Neue" w:hAnsi="Helvetica Neue" w:cs="Arial"/>
        </w:rPr>
      </w:pPr>
      <w:r w:rsidRPr="001115C5">
        <w:rPr>
          <w:rFonts w:ascii="Helvetica Neue" w:hAnsi="Helvetica Neue" w:cs="Arial"/>
          <w:b/>
          <w:bCs/>
        </w:rPr>
        <w:t>“Attractive to Youth”</w:t>
      </w:r>
      <w:r w:rsidRPr="001115C5">
        <w:rPr>
          <w:rFonts w:ascii="Helvetica Neue" w:hAnsi="Helvetica Neue" w:cs="Arial"/>
        </w:rPr>
        <w:t xml:space="preserve"> refers to products, packaging or labeling or advertising that a reasonable person would understand to encourage persons under age 21 to initiate Cannabis consumption or otherwise to consume (accidentally or purposely) cannabis or Cannabis Products. it includes, without limitation:</w:t>
      </w:r>
    </w:p>
    <w:p w14:paraId="67731241" w14:textId="77777777" w:rsidR="00BA5361" w:rsidRPr="001115C5" w:rsidRDefault="00F60A30" w:rsidP="007D0948">
      <w:pPr>
        <w:pStyle w:val="ListParagraph"/>
        <w:numPr>
          <w:ilvl w:val="1"/>
          <w:numId w:val="4"/>
        </w:numPr>
        <w:spacing w:after="240"/>
        <w:ind w:left="792"/>
        <w:contextualSpacing w:val="0"/>
        <w:rPr>
          <w:rFonts w:ascii="Helvetica Neue" w:hAnsi="Helvetica Neue" w:cs="Arial"/>
        </w:rPr>
      </w:pPr>
      <w:r w:rsidRPr="001115C5">
        <w:rPr>
          <w:rFonts w:ascii="Helvetica Neue" w:hAnsi="Helvetica Neue" w:cs="Arial"/>
        </w:rPr>
        <w:t xml:space="preserve">Products that (1) resemble a non-Cannabis consumer product, including, but without limitation, candy or baked goods that are typically consumed by, or marketed to, children or youth; or (2) occur </w:t>
      </w:r>
      <w:r w:rsidRPr="001115C5">
        <w:rPr>
          <w:rFonts w:ascii="Helvetica Neue" w:hAnsi="Helvetica Neue" w:cs="Arial"/>
        </w:rPr>
        <w:lastRenderedPageBreak/>
        <w:t>in the shape of a cartoon, human or any other animate creature including, without limitation, an insect, toy, fruit, vehicle or robot.</w:t>
      </w:r>
    </w:p>
    <w:p w14:paraId="38CE1E43" w14:textId="77777777" w:rsidR="00BA5361" w:rsidRPr="001115C5" w:rsidRDefault="00F60A30" w:rsidP="007D0948">
      <w:pPr>
        <w:pStyle w:val="ListParagraph"/>
        <w:numPr>
          <w:ilvl w:val="1"/>
          <w:numId w:val="4"/>
        </w:numPr>
        <w:spacing w:after="240"/>
        <w:ind w:left="792"/>
        <w:contextualSpacing w:val="0"/>
        <w:rPr>
          <w:rFonts w:ascii="Helvetica Neue" w:hAnsi="Helvetica Neue" w:cs="Arial"/>
        </w:rPr>
      </w:pPr>
      <w:r w:rsidRPr="001115C5">
        <w:rPr>
          <w:rFonts w:ascii="Helvetica Neue" w:hAnsi="Helvetica Neue" w:cs="Arial"/>
        </w:rPr>
        <w:t>Packaging or labeling that (1) resembles packaging or labeling of a non-cannabis consumer product of a type that is typically consumed by, or marketed to, children or youth; (2) contains images depicting a cartoon, human or any other animate creature including, without limitation, an insect, toy, fruit, vehicle, or robot, images of a candy or a baked good or other food resembling a non-cannabis consumer product of a type that is typically consumed by, or marketed to, children or youth, (3) contains text referring to a cartoon, or any other animate creature including, without limitation, an insect, toy, fruit, vehicle or robot, (4) contains any images, characters, or phrases that closely resemble images, characters, or phrases commonly used to advertise to children; or (5) describes any characterizing flavor; except that, for edible products only, terms such as “lemon-flavored” describing a characterizing flavor may be used in font sizes that do not exceed that of the largest word in the “Warning” on the packages.</w:t>
      </w:r>
    </w:p>
    <w:p w14:paraId="09A8C358" w14:textId="566BB20D" w:rsidR="005C3399" w:rsidRPr="001115C5" w:rsidRDefault="00F60A30" w:rsidP="007D0948">
      <w:pPr>
        <w:pStyle w:val="ListParagraph"/>
        <w:numPr>
          <w:ilvl w:val="1"/>
          <w:numId w:val="4"/>
        </w:numPr>
        <w:spacing w:after="240"/>
        <w:ind w:left="792"/>
        <w:contextualSpacing w:val="0"/>
        <w:rPr>
          <w:rFonts w:ascii="Helvetica Neue" w:hAnsi="Helvetica Neue" w:cs="Arial"/>
        </w:rPr>
      </w:pPr>
      <w:r w:rsidRPr="001115C5">
        <w:rPr>
          <w:rFonts w:ascii="Helvetica Neue" w:hAnsi="Helvetica Neue" w:cs="Arial"/>
        </w:rPr>
        <w:t>Advertising that (1) mimics advertising of a non-cannabis consumer product of a type that is typically consumed by, or marketed to children or youth; (2) depicts a cartoon, or any non-human animate creature including, without limitation, an insect, toy, fruit, vehicle or robot, (3) depicts or describes candy, baked goods, or other food typically marketed to youth; (4) uses actors or human characters who appear to be, or are, under age 21; or (5) or includes celebrities a reasonable person would understand to who appeal to youth.</w:t>
      </w:r>
    </w:p>
    <w:tbl>
      <w:tblPr>
        <w:tblStyle w:val="TableGrid"/>
        <w:tblW w:w="10260" w:type="dxa"/>
        <w:tblInd w:w="108" w:type="dxa"/>
        <w:tblLook w:val="04A0" w:firstRow="1" w:lastRow="0" w:firstColumn="1" w:lastColumn="0" w:noHBand="0" w:noVBand="1"/>
      </w:tblPr>
      <w:tblGrid>
        <w:gridCol w:w="10260"/>
      </w:tblGrid>
      <w:tr w:rsidR="00BA5361" w:rsidRPr="001115C5" w14:paraId="6CCB8DF8" w14:textId="77777777" w:rsidTr="007765EB">
        <w:tc>
          <w:tcPr>
            <w:tcW w:w="10260" w:type="dxa"/>
            <w:shd w:val="clear" w:color="auto" w:fill="D9D9D9" w:themeFill="background1" w:themeFillShade="D9"/>
          </w:tcPr>
          <w:p w14:paraId="5B2A7503" w14:textId="2FDEA8BE" w:rsidR="00BA5361" w:rsidRPr="001115C5" w:rsidRDefault="00BA5361" w:rsidP="00A471D7">
            <w:pPr>
              <w:spacing w:before="280" w:after="120" w:line="360" w:lineRule="auto"/>
              <w:rPr>
                <w:rFonts w:ascii="Helvetica Neue" w:eastAsia="Helvetica Neue" w:hAnsi="Helvetica Neue" w:cs="Arial"/>
              </w:rPr>
            </w:pPr>
            <w:bookmarkStart w:id="6" w:name="_Hlk57017666"/>
            <w:r w:rsidRPr="001115C5">
              <w:rPr>
                <w:rFonts w:ascii="Helvetica Neue" w:eastAsia="Helvetica Neue" w:hAnsi="Helvetica Neue" w:cs="Arial"/>
                <w:b/>
                <w:bCs/>
                <w:shd w:val="clear" w:color="auto" w:fill="D9D9D9" w:themeFill="background1" w:themeFillShade="D9"/>
              </w:rPr>
              <w:t>COMMENT:</w:t>
            </w:r>
            <w:r w:rsidRPr="001115C5">
              <w:rPr>
                <w:rFonts w:ascii="Helvetica Neue" w:eastAsia="Helvetica Neue" w:hAnsi="Helvetica Neue" w:cs="Arial"/>
              </w:rPr>
              <w:t xml:space="preserve"> The advertising, products, packaging and labeling definitions listed here come from a systematic review of the literature on youth perceptions of advertising for alcohol, tobacco and food, which found specific content to which minors are particularly susceptible due to their unique developmental stage, propensity for high-risk behaviors, and relative inexperience with consumption of alcohol and tobacco.</w:t>
            </w:r>
            <w:r w:rsidR="00C901C7" w:rsidRPr="001115C5">
              <w:rPr>
                <w:rStyle w:val="FootnoteReference"/>
                <w:rFonts w:ascii="Helvetica Neue" w:eastAsia="Helvetica Neue" w:hAnsi="Helvetica Neue" w:cs="Arial"/>
              </w:rPr>
              <w:footnoteReference w:id="72"/>
            </w:r>
            <w:r w:rsidR="00510126">
              <w:rPr>
                <w:rFonts w:ascii="Helvetica Neue" w:eastAsia="Helvetica Neue" w:hAnsi="Helvetica Neue" w:cs="Arial"/>
              </w:rPr>
              <w:t xml:space="preserve"> </w:t>
            </w:r>
            <w:r w:rsidR="00510126" w:rsidRPr="00864E02">
              <w:rPr>
                <w:rFonts w:ascii="Helvetica Neue" w:eastAsia="Helvetica Neue" w:hAnsi="Helvetica Neue" w:cs="Arial"/>
                <w:vertAlign w:val="superscript"/>
              </w:rPr>
              <w:t>-</w:t>
            </w:r>
            <w:r w:rsidR="00257046">
              <w:rPr>
                <w:rFonts w:ascii="Helvetica Neue" w:eastAsia="Helvetica Neue" w:hAnsi="Helvetica Neue" w:cs="Arial"/>
              </w:rPr>
              <w:t xml:space="preserve"> </w:t>
            </w:r>
            <w:r w:rsidR="00C901C7" w:rsidRPr="00864E02">
              <w:rPr>
                <w:rStyle w:val="FootnoteReference"/>
                <w:rFonts w:ascii="Helvetica Neue" w:eastAsia="Helvetica Neue" w:hAnsi="Helvetica Neue" w:cs="Arial"/>
                <w:vanish/>
              </w:rPr>
              <w:footnoteReference w:id="73"/>
            </w:r>
            <w:r w:rsidR="00C901C7" w:rsidRPr="00864E02">
              <w:rPr>
                <w:rFonts w:ascii="Helvetica Neue" w:eastAsia="Helvetica Neue" w:hAnsi="Helvetica Neue" w:cs="Arial"/>
                <w:vanish/>
              </w:rPr>
              <w:t xml:space="preserve"> </w:t>
            </w:r>
            <w:r w:rsidR="00C901C7" w:rsidRPr="00864E02">
              <w:rPr>
                <w:rStyle w:val="FootnoteReference"/>
                <w:rFonts w:ascii="Helvetica Neue" w:eastAsia="Helvetica Neue" w:hAnsi="Helvetica Neue" w:cs="Arial"/>
                <w:vanish/>
              </w:rPr>
              <w:footnoteReference w:id="74"/>
            </w:r>
            <w:r w:rsidR="00C901C7" w:rsidRPr="00864E02">
              <w:rPr>
                <w:rFonts w:ascii="Helvetica Neue" w:eastAsia="Helvetica Neue" w:hAnsi="Helvetica Neue" w:cs="Arial"/>
                <w:vanish/>
              </w:rPr>
              <w:t xml:space="preserve"> </w:t>
            </w:r>
            <w:r w:rsidR="00C901C7" w:rsidRPr="00864E02">
              <w:rPr>
                <w:rStyle w:val="FootnoteReference"/>
                <w:rFonts w:ascii="Helvetica Neue" w:eastAsia="Helvetica Neue" w:hAnsi="Helvetica Neue" w:cs="Arial"/>
                <w:vanish/>
              </w:rPr>
              <w:footnoteReference w:id="75"/>
            </w:r>
            <w:r w:rsidR="00C901C7" w:rsidRPr="00864E02">
              <w:rPr>
                <w:rFonts w:ascii="Helvetica Neue" w:eastAsia="Helvetica Neue" w:hAnsi="Helvetica Neue" w:cs="Arial"/>
                <w:vanish/>
              </w:rPr>
              <w:t xml:space="preserve"> </w:t>
            </w:r>
            <w:r w:rsidR="00CA79A7" w:rsidRPr="00864E02">
              <w:rPr>
                <w:rStyle w:val="FootnoteReference"/>
                <w:rFonts w:ascii="Helvetica Neue" w:eastAsia="Helvetica Neue" w:hAnsi="Helvetica Neue" w:cs="Arial"/>
                <w:vanish/>
              </w:rPr>
              <w:footnoteReference w:id="76"/>
            </w:r>
            <w:r w:rsidR="00C901C7" w:rsidRPr="00864E02">
              <w:rPr>
                <w:rFonts w:ascii="Helvetica Neue" w:eastAsia="Helvetica Neue" w:hAnsi="Helvetica Neue" w:cs="Arial"/>
                <w:vanish/>
              </w:rPr>
              <w:t xml:space="preserve"> </w:t>
            </w:r>
            <w:r w:rsidR="00CA79A7" w:rsidRPr="00864E02">
              <w:rPr>
                <w:rStyle w:val="FootnoteReference"/>
                <w:rFonts w:ascii="Helvetica Neue" w:eastAsia="Helvetica Neue" w:hAnsi="Helvetica Neue" w:cs="Arial"/>
                <w:vanish/>
              </w:rPr>
              <w:footnoteReference w:id="77"/>
            </w:r>
            <w:r w:rsidR="00CA79A7" w:rsidRPr="00864E02">
              <w:rPr>
                <w:rFonts w:ascii="Helvetica Neue" w:eastAsia="Helvetica Neue" w:hAnsi="Helvetica Neue" w:cs="Arial"/>
                <w:vanish/>
              </w:rPr>
              <w:t xml:space="preserve"> </w:t>
            </w:r>
            <w:r w:rsidR="00F242EF" w:rsidRPr="001115C5">
              <w:rPr>
                <w:rStyle w:val="FootnoteReference"/>
                <w:rFonts w:ascii="Helvetica Neue" w:eastAsia="Helvetica Neue" w:hAnsi="Helvetica Neue" w:cs="Arial"/>
              </w:rPr>
              <w:footnoteReference w:id="78"/>
            </w:r>
            <w:r w:rsidR="00CA79A7" w:rsidRPr="001115C5">
              <w:rPr>
                <w:rFonts w:ascii="Helvetica Neue" w:eastAsia="Helvetica Neue" w:hAnsi="Helvetica Neue" w:cs="Arial"/>
              </w:rPr>
              <w:t xml:space="preserve"> </w:t>
            </w:r>
            <w:r w:rsidRPr="001115C5">
              <w:rPr>
                <w:rFonts w:ascii="Helvetica Neue" w:eastAsia="Helvetica Neue" w:hAnsi="Helvetica Neue" w:cs="Arial"/>
              </w:rPr>
              <w:t xml:space="preserve">A subsequent analysis found a positive association </w:t>
            </w:r>
            <w:r w:rsidRPr="001115C5">
              <w:rPr>
                <w:rFonts w:ascii="Helvetica Neue" w:eastAsia="Helvetica Neue" w:hAnsi="Helvetica Neue" w:cs="Arial"/>
              </w:rPr>
              <w:lastRenderedPageBreak/>
              <w:t>between</w:t>
            </w:r>
            <w:r w:rsidR="00C901C7" w:rsidRPr="001115C5">
              <w:rPr>
                <w:rFonts w:ascii="Helvetica Neue" w:eastAsia="Helvetica Neue" w:hAnsi="Helvetica Neue" w:cs="Arial"/>
              </w:rPr>
              <w:t xml:space="preserve"> </w:t>
            </w:r>
            <w:r w:rsidRPr="001115C5">
              <w:rPr>
                <w:rFonts w:ascii="Helvetica Neue" w:eastAsia="Helvetica Neue" w:hAnsi="Helvetica Neue" w:cs="Arial"/>
              </w:rPr>
              <w:t>the use of such features in alcohol brand advertisements and youth</w:t>
            </w:r>
            <w:r w:rsidR="00A471D7" w:rsidRPr="001115C5">
              <w:rPr>
                <w:rFonts w:ascii="Helvetica Neue" w:eastAsia="Helvetica Neue" w:hAnsi="Helvetica Neue" w:cs="Arial"/>
              </w:rPr>
              <w:t xml:space="preserve"> </w:t>
            </w:r>
            <w:r w:rsidRPr="001115C5">
              <w:rPr>
                <w:rFonts w:ascii="Helvetica Neue" w:eastAsia="Helvetica Neue" w:hAnsi="Helvetica Neue" w:cs="Arial"/>
              </w:rPr>
              <w:t>consumption of those brands, and no association with</w:t>
            </w:r>
            <w:r w:rsidR="00A471D7" w:rsidRPr="001115C5">
              <w:rPr>
                <w:rFonts w:ascii="Helvetica Neue" w:eastAsia="Helvetica Neue" w:hAnsi="Helvetica Neue" w:cs="Arial"/>
              </w:rPr>
              <w:t xml:space="preserve"> </w:t>
            </w:r>
            <w:r w:rsidRPr="001115C5">
              <w:rPr>
                <w:rFonts w:ascii="Helvetica Neue" w:eastAsia="Helvetica Neue" w:hAnsi="Helvetica Neue" w:cs="Arial"/>
              </w:rPr>
              <w:t>adult alcohol consumption of those brands, suggesting they have particular appeal for youth.</w:t>
            </w:r>
            <w:r w:rsidR="00F242EF" w:rsidRPr="001115C5">
              <w:rPr>
                <w:rStyle w:val="FootnoteReference"/>
                <w:rFonts w:ascii="Helvetica Neue" w:eastAsia="Helvetica Neue" w:hAnsi="Helvetica Neue" w:cs="Arial"/>
              </w:rPr>
              <w:footnoteReference w:id="79"/>
            </w:r>
            <w:r w:rsidRPr="001115C5">
              <w:rPr>
                <w:rFonts w:ascii="Helvetica Neue" w:eastAsia="Helvetica Neue" w:hAnsi="Helvetica Neue" w:cs="Arial"/>
              </w:rPr>
              <w:t xml:space="preserve"> This definition seeks to specify the meaning of “attractive to youth,” which was not clearly defined in California law – although it is, for example, in Oregon law 845-025-7000, which provided some of this language. Oregon officials noted the value of specifically defining the term “attractive to youth” as well as having a process to assess products.</w:t>
            </w:r>
          </w:p>
          <w:p w14:paraId="2179A453" w14:textId="6B9F7261" w:rsidR="00BA5361" w:rsidRPr="001115C5" w:rsidRDefault="00BA5361" w:rsidP="00A471D7">
            <w:pPr>
              <w:spacing w:before="120" w:after="120" w:line="360" w:lineRule="auto"/>
              <w:rPr>
                <w:rFonts w:ascii="Helvetica Neue" w:eastAsia="Helvetica Neue" w:hAnsi="Helvetica Neue" w:cs="Arial"/>
              </w:rPr>
            </w:pPr>
            <w:r w:rsidRPr="001115C5">
              <w:rPr>
                <w:rFonts w:ascii="Helvetica Neue" w:eastAsia="Helvetica Neue" w:hAnsi="Helvetica Neue" w:cs="Arial"/>
              </w:rPr>
              <w:t>California law does not now propose a product-by-product review for attractiveness to youth nor does it clearly define the term, although current state regulations prohibit “any cannabis product in the shape of a human being, either realistic or caricature, animal, insect or fruit,” (CDPH §40300(m)) and any labels including “cartoons; any likeness to images, characters or phrases that are popularly used to advertise to children; any imitation of candy packaging or labeling; or the terms ‘candy’ or ‘candies.’” (CDPH §41410(b)(1)-(4)). While state regulation has adopted some of this language they have not, to our knowledge, been consistently enforced. Incorporating such language facilitates the jurisdiction’s ability to protect against products attractive to youth.</w:t>
            </w:r>
          </w:p>
          <w:p w14:paraId="2130EB9C" w14:textId="1504939C" w:rsidR="00BA5361" w:rsidRPr="001115C5" w:rsidRDefault="00BA5361" w:rsidP="00A471D7">
            <w:pPr>
              <w:spacing w:before="120" w:after="120" w:line="360" w:lineRule="auto"/>
              <w:rPr>
                <w:rFonts w:ascii="Helvetica Neue" w:eastAsia="Arial" w:hAnsi="Helvetica Neue"/>
              </w:rPr>
            </w:pPr>
            <w:r w:rsidRPr="001115C5">
              <w:rPr>
                <w:rFonts w:ascii="Helvetica Neue" w:eastAsia="Helvetica Neue" w:hAnsi="Helvetica Neue" w:cs="Arial"/>
              </w:rPr>
              <w:t xml:space="preserve">Note that packaging and advertising restrictions based on criteria that match a jurisdiction’s sales restriction criteria will be more robust, since restrictions on advertising of products not allowed for sale in a jurisdiction are less susceptible to First Amendment challenge. For examples of California jurisdictions that have enacted ordinances with strong prohibitions on products or advertising “attractive to youth,” </w:t>
            </w:r>
            <w:r w:rsidRPr="001115C5">
              <w:rPr>
                <w:rFonts w:ascii="Helvetica Neue" w:eastAsia="Helvetica Neue" w:hAnsi="Helvetica Neue" w:cs="Arial"/>
                <w:i/>
                <w:iCs/>
              </w:rPr>
              <w:t>see</w:t>
            </w:r>
            <w:r w:rsidRPr="001115C5">
              <w:rPr>
                <w:rFonts w:ascii="Helvetica Neue" w:eastAsia="Helvetica Neue" w:hAnsi="Helvetica Neue" w:cs="Arial"/>
              </w:rPr>
              <w:t xml:space="preserve"> Mono County Code </w:t>
            </w:r>
            <w:r w:rsidRPr="001115C5">
              <w:rPr>
                <w:rFonts w:ascii="Helvetica Neue" w:eastAsia="Arial" w:hAnsi="Helvetica Neue" w:cs="Arial"/>
              </w:rPr>
              <w:t>Ch. 5.60.030(9)</w:t>
            </w:r>
            <w:r w:rsidRPr="001115C5">
              <w:rPr>
                <w:rFonts w:ascii="Helvetica Neue" w:eastAsia="Helvetica Neue" w:hAnsi="Helvetica Neue" w:cs="Arial"/>
              </w:rPr>
              <w:t xml:space="preserve"> and Pasadena City Code </w:t>
            </w:r>
            <w:r w:rsidRPr="001115C5">
              <w:rPr>
                <w:rFonts w:ascii="Helvetica Neue" w:eastAsia="Arial" w:hAnsi="Helvetica Neue" w:cs="Arial"/>
              </w:rPr>
              <w:t>Ch 8.10.020(D).</w:t>
            </w:r>
          </w:p>
        </w:tc>
      </w:tr>
    </w:tbl>
    <w:bookmarkEnd w:id="6"/>
    <w:p w14:paraId="75AC7FF2" w14:textId="77777777" w:rsidR="009350F2" w:rsidRPr="001115C5" w:rsidRDefault="00D377A4" w:rsidP="009350F2">
      <w:pPr>
        <w:pStyle w:val="ListParagraph"/>
        <w:numPr>
          <w:ilvl w:val="0"/>
          <w:numId w:val="4"/>
        </w:numPr>
        <w:spacing w:before="480" w:after="240"/>
        <w:contextualSpacing w:val="0"/>
        <w:rPr>
          <w:rFonts w:ascii="Helvetica Neue" w:hAnsi="Helvetica Neue" w:cs="Arial"/>
        </w:rPr>
      </w:pPr>
      <w:r w:rsidRPr="001115C5">
        <w:rPr>
          <w:rFonts w:ascii="Helvetica Neue" w:hAnsi="Helvetica Neue" w:cs="Arial"/>
          <w:b/>
          <w:bCs/>
        </w:rPr>
        <w:lastRenderedPageBreak/>
        <w:t>“Cannabis”</w:t>
      </w:r>
      <w:r w:rsidRPr="001115C5">
        <w:rPr>
          <w:rFonts w:ascii="Helvetica Neue" w:hAnsi="Helvetica Neue" w:cs="Arial"/>
        </w:rPr>
        <w:t xml:space="preserve"> means all parts of the plant Cannabis sativa Linnaeus, Cannabis indica, Cannabis ruderalis, or any other strain or varietal of the genus Cannabis that may exist or hereafter be discovered or developed that has psychoactive or medicinal properties, whether growing or not; the seeds thereof; the resin, whether crude or purified, extracted from any part of the plant; and every compound, manufacture, salt, derivative, mixture, or preparation of the plant, its seeds, or resin. “Cannabis” also means the separated resin, whether crude or purified, obtained from cannabis. “Cannabis” does not include the mature stalks </w:t>
      </w:r>
      <w:r w:rsidRPr="001115C5">
        <w:rPr>
          <w:rFonts w:ascii="Helvetica Neue" w:hAnsi="Helvetica Neue" w:cs="Arial"/>
        </w:rPr>
        <w:lastRenderedPageBreak/>
        <w:t>of the plant, fiber produced from the stalks, oil or cake made from the seeds of the plant, any other compound, manufacture, salt, derivative, mixture, or preparation of the mature stalks (except the resin extracted therefrom), fiber, oil, or cake, or the sterilized seed of the plant which is incapable of germination. For the purpose of this division, “Cannabis” does not mean “industrial hemp” as defined by Section 11018.5 of the Health and Safety Code.</w:t>
      </w:r>
    </w:p>
    <w:p w14:paraId="027C4296" w14:textId="77777777" w:rsidR="009350F2" w:rsidRPr="001115C5" w:rsidRDefault="00D377A4" w:rsidP="009350F2">
      <w:pPr>
        <w:pStyle w:val="ListParagraph"/>
        <w:numPr>
          <w:ilvl w:val="0"/>
          <w:numId w:val="4"/>
        </w:numPr>
        <w:spacing w:after="240"/>
        <w:contextualSpacing w:val="0"/>
        <w:rPr>
          <w:rFonts w:ascii="Helvetica Neue" w:hAnsi="Helvetica Neue" w:cs="Arial"/>
        </w:rPr>
      </w:pPr>
      <w:r w:rsidRPr="001115C5">
        <w:rPr>
          <w:rFonts w:ascii="Helvetica Neue" w:hAnsi="Helvetica Neue" w:cs="Arial"/>
          <w:b/>
          <w:bCs/>
        </w:rPr>
        <w:t>“Cannabis Accessories”</w:t>
      </w:r>
      <w:r w:rsidRPr="001115C5">
        <w:rPr>
          <w:rFonts w:ascii="Helvetica Neue" w:hAnsi="Helvetica Neue" w:cs="Arial"/>
        </w:rPr>
        <w:t xml:space="preserve"> has the same meaning as in Section 11018.2 of the Health and Safety Code, as it may be amended from time to time. That section presently provides as follows: means any equipment, products or materials of any kind which are used, intended for use, or designed for use in planting, propagating, cultivating, growing, harvesting, manufacturing, compounding, converting, producing, processing, preparing, testing, analyzing, packaging, repackaging, storing, smoking, vaporizing, or containing cannabis, or for ingesting, inhaling, or otherwise introducing cannabis or cannabis products into the human body.</w:t>
      </w:r>
    </w:p>
    <w:p w14:paraId="149CFBF1" w14:textId="071AB1EC" w:rsidR="009350F2" w:rsidRPr="001115C5" w:rsidRDefault="00D377A4" w:rsidP="009350F2">
      <w:pPr>
        <w:pStyle w:val="ListParagraph"/>
        <w:numPr>
          <w:ilvl w:val="0"/>
          <w:numId w:val="4"/>
        </w:numPr>
        <w:spacing w:after="240"/>
        <w:contextualSpacing w:val="0"/>
        <w:rPr>
          <w:rFonts w:ascii="Helvetica Neue" w:hAnsi="Helvetica Neue" w:cs="Arial"/>
        </w:rPr>
      </w:pPr>
      <w:r w:rsidRPr="001115C5">
        <w:rPr>
          <w:rFonts w:ascii="Helvetica Neue" w:hAnsi="Helvetica Neue" w:cs="Arial"/>
          <w:b/>
          <w:bCs/>
        </w:rPr>
        <w:t>“Cannabis Concentrate”</w:t>
      </w:r>
      <w:r w:rsidRPr="001115C5">
        <w:rPr>
          <w:rFonts w:ascii="Helvetica Neue" w:hAnsi="Helvetica Neue" w:cs="Arial"/>
        </w:rPr>
        <w:t xml:space="preserve"> has the same meaning as in Cal Code Regs. tit 17. §40100(</w:t>
      </w:r>
      <w:proofErr w:type="spellStart"/>
      <w:r w:rsidRPr="001115C5">
        <w:rPr>
          <w:rFonts w:ascii="Helvetica Neue" w:hAnsi="Helvetica Neue" w:cs="Arial"/>
        </w:rPr>
        <w:t>i</w:t>
      </w:r>
      <w:proofErr w:type="spellEnd"/>
      <w:r w:rsidRPr="001115C5">
        <w:rPr>
          <w:rFonts w:ascii="Helvetica Neue" w:hAnsi="Helvetica Neue" w:cs="Arial"/>
        </w:rPr>
        <w:t>), as it may be amended from time to time. That sections presently provides as follows: “Cannabis Concentrate is cannabis that has undergone a process to concentrate one or more active cannabinoids, thereby increasing the product’s potency. For purposes of this chapter, “cannabis concentrate” includes, but is not limited to, the separated resinous trichomes of cannabis, tinctures, capsules, suppositories, extracts, vape cartridges, inhaled products (e.g., dab, shatter, and wax), and tablets as defined in subsection (</w:t>
      </w:r>
      <w:proofErr w:type="spellStart"/>
      <w:r w:rsidRPr="001115C5">
        <w:rPr>
          <w:rFonts w:ascii="Helvetica Neue" w:hAnsi="Helvetica Neue" w:cs="Arial"/>
        </w:rPr>
        <w:t>rr</w:t>
      </w:r>
      <w:proofErr w:type="spellEnd"/>
      <w:r w:rsidRPr="001115C5">
        <w:rPr>
          <w:rFonts w:ascii="Helvetica Neue" w:hAnsi="Helvetica Neue" w:cs="Arial"/>
        </w:rPr>
        <w:t>).”</w:t>
      </w:r>
    </w:p>
    <w:p w14:paraId="2C01FC08" w14:textId="77777777" w:rsidR="009350F2" w:rsidRPr="001115C5" w:rsidRDefault="00D377A4" w:rsidP="009350F2">
      <w:pPr>
        <w:pStyle w:val="ListParagraph"/>
        <w:numPr>
          <w:ilvl w:val="0"/>
          <w:numId w:val="4"/>
        </w:numPr>
        <w:spacing w:after="240"/>
        <w:contextualSpacing w:val="0"/>
        <w:rPr>
          <w:rFonts w:ascii="Helvetica Neue" w:hAnsi="Helvetica Neue" w:cs="Arial"/>
        </w:rPr>
      </w:pPr>
      <w:r w:rsidRPr="001115C5">
        <w:rPr>
          <w:rFonts w:ascii="Helvetica Neue" w:hAnsi="Helvetica Neue" w:cs="Arial"/>
          <w:b/>
          <w:bCs/>
        </w:rPr>
        <w:t>“Cannabis Price Floor”</w:t>
      </w:r>
      <w:r w:rsidRPr="001115C5">
        <w:rPr>
          <w:rFonts w:ascii="Helvetica Neue" w:hAnsi="Helvetica Neue" w:cs="Arial"/>
        </w:rPr>
        <w:t xml:space="preserve"> means the minimum price, including all applicable taxes, for which a retail dealer may sell one ounce of flower Cannabis, or 5 mg of THC in other Cannabis Products may be sold.</w:t>
      </w:r>
    </w:p>
    <w:p w14:paraId="2D0EAF4F" w14:textId="77777777" w:rsidR="009350F2" w:rsidRPr="001115C5" w:rsidRDefault="00D377A4" w:rsidP="007D0948">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“Cannabis Product”</w:t>
      </w:r>
      <w:r w:rsidRPr="001115C5">
        <w:rPr>
          <w:rFonts w:ascii="Helvetica Neue" w:hAnsi="Helvetica Neue" w:cs="Arial"/>
        </w:rPr>
        <w:t xml:space="preserve"> has the same meaning as in Section 11018.1 of the Health and Safety Code, as it may be amended from time to time. That section presently provides as follows: “cannabis that has undergone a process whereby the plant material has been transformed into a concentrate, including, but not limited to, concentrated cannabis, or an edible or topical product containing cannabis or concentrated cannabis and other ingredients.”</w:t>
      </w:r>
    </w:p>
    <w:p w14:paraId="051B1A03" w14:textId="77777777" w:rsidR="009350F2" w:rsidRPr="001115C5" w:rsidRDefault="00D377A4"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“Cannabis Retailer”</w:t>
      </w:r>
      <w:r w:rsidRPr="001115C5">
        <w:rPr>
          <w:rFonts w:ascii="Helvetica Neue" w:hAnsi="Helvetica Neue" w:cs="Arial"/>
        </w:rPr>
        <w:t xml:space="preserve"> means any Person who sells, offers for sale, or does or offers to exchange for any form of consideration, Cannabis or Cannabis Products to consumers for adult and/or medical use. “Cannabis Retailing” shall mean the doing of any of these things.</w:t>
      </w:r>
    </w:p>
    <w:p w14:paraId="5EF4C283" w14:textId="77777777" w:rsidR="009350F2" w:rsidRPr="001115C5" w:rsidRDefault="00D377A4"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“Cartoon”</w:t>
      </w:r>
      <w:r w:rsidRPr="001115C5">
        <w:rPr>
          <w:rFonts w:ascii="Helvetica Neue" w:hAnsi="Helvetica Neue" w:cs="Arial"/>
        </w:rPr>
        <w:t xml:space="preserve"> means any animation, drawing or other depiction of an object, person, animal, creature or similar caricature that satisfies any of the following criteria:</w:t>
      </w:r>
    </w:p>
    <w:p w14:paraId="573721D8" w14:textId="77777777" w:rsidR="009350F2" w:rsidRPr="001115C5" w:rsidRDefault="00D377A4" w:rsidP="00312BD2">
      <w:pPr>
        <w:pStyle w:val="ListParagraph"/>
        <w:numPr>
          <w:ilvl w:val="1"/>
          <w:numId w:val="4"/>
        </w:numPr>
        <w:spacing w:after="240"/>
        <w:ind w:left="936"/>
        <w:contextualSpacing w:val="0"/>
        <w:rPr>
          <w:rFonts w:ascii="Helvetica Neue" w:hAnsi="Helvetica Neue" w:cs="Arial"/>
        </w:rPr>
      </w:pPr>
      <w:r w:rsidRPr="001115C5">
        <w:rPr>
          <w:rFonts w:ascii="Helvetica Neue" w:hAnsi="Helvetica Neue" w:cs="Arial"/>
        </w:rPr>
        <w:t xml:space="preserve">The use of comically exaggerated </w:t>
      </w:r>
      <w:proofErr w:type="gramStart"/>
      <w:r w:rsidRPr="001115C5">
        <w:rPr>
          <w:rFonts w:ascii="Helvetica Neue" w:hAnsi="Helvetica Neue" w:cs="Arial"/>
        </w:rPr>
        <w:t>features;</w:t>
      </w:r>
      <w:proofErr w:type="gramEnd"/>
    </w:p>
    <w:p w14:paraId="3B1BCF9C" w14:textId="77777777" w:rsidR="009350F2" w:rsidRPr="001115C5" w:rsidRDefault="00D377A4" w:rsidP="00312BD2">
      <w:pPr>
        <w:pStyle w:val="ListParagraph"/>
        <w:numPr>
          <w:ilvl w:val="1"/>
          <w:numId w:val="4"/>
        </w:numPr>
        <w:spacing w:after="240"/>
        <w:ind w:left="936"/>
        <w:contextualSpacing w:val="0"/>
        <w:rPr>
          <w:rFonts w:ascii="Helvetica Neue" w:hAnsi="Helvetica Neue" w:cs="Arial"/>
        </w:rPr>
      </w:pPr>
      <w:r w:rsidRPr="001115C5">
        <w:rPr>
          <w:rFonts w:ascii="Helvetica Neue" w:hAnsi="Helvetica Neue" w:cs="Arial"/>
        </w:rPr>
        <w:t>The attribution of human characteristics to animals, plants or other objects, or a similar use of anthropomorphic technique; or</w:t>
      </w:r>
    </w:p>
    <w:p w14:paraId="16863752" w14:textId="77777777" w:rsidR="009350F2" w:rsidRPr="001115C5" w:rsidRDefault="00D377A4" w:rsidP="00312BD2">
      <w:pPr>
        <w:pStyle w:val="ListParagraph"/>
        <w:numPr>
          <w:ilvl w:val="1"/>
          <w:numId w:val="4"/>
        </w:numPr>
        <w:spacing w:after="240"/>
        <w:ind w:left="936"/>
        <w:contextualSpacing w:val="0"/>
        <w:rPr>
          <w:rFonts w:ascii="Helvetica Neue" w:hAnsi="Helvetica Neue" w:cs="Arial"/>
        </w:rPr>
      </w:pPr>
      <w:r w:rsidRPr="001115C5">
        <w:rPr>
          <w:rFonts w:ascii="Helvetica Neue" w:hAnsi="Helvetica Neue" w:cs="Arial"/>
        </w:rPr>
        <w:lastRenderedPageBreak/>
        <w:t>The attribution of unnatural or extra-human abilities to a character or person, such as imperviousness to pain or injury, X-ray vision, tunneling at very high speeds or transformation.</w:t>
      </w:r>
    </w:p>
    <w:p w14:paraId="44811996" w14:textId="77777777" w:rsidR="000376A6" w:rsidRPr="001115C5" w:rsidRDefault="00D377A4"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“Characterizing Flavor”</w:t>
      </w:r>
      <w:r w:rsidRPr="001115C5">
        <w:rPr>
          <w:rFonts w:ascii="Helvetica Neue" w:hAnsi="Helvetica Neue" w:cs="Arial"/>
        </w:rPr>
        <w:t xml:space="preserve"> means addition of perceptible taste or aroma post-harvest or use of a brand or product name, language or image suggestive of a particular taste or aroma imparted by Cannabis or a Cannabis Product, other than the taste or aroma of cannabis, including, without limitation, tastes or aromas relating to any fruit, chocolate, vanilla, honey, candy, dessert, alcoholic beverage, menthol, mint, wintergreen, herb, nut or spice. Cannabis or a cannabis product is presumed to have a characterizing flavor if a cannabis retailer, manufacturer, manufacturer’s agent or employee has:</w:t>
      </w:r>
    </w:p>
    <w:p w14:paraId="260D1FB9" w14:textId="77777777" w:rsidR="000376A6" w:rsidRPr="001115C5" w:rsidRDefault="00D377A4" w:rsidP="00312BD2">
      <w:pPr>
        <w:pStyle w:val="ListParagraph"/>
        <w:numPr>
          <w:ilvl w:val="1"/>
          <w:numId w:val="4"/>
        </w:numPr>
        <w:spacing w:after="240"/>
        <w:ind w:left="936"/>
        <w:contextualSpacing w:val="0"/>
        <w:rPr>
          <w:rFonts w:ascii="Helvetica Neue" w:hAnsi="Helvetica Neue" w:cs="Arial"/>
        </w:rPr>
      </w:pPr>
      <w:r w:rsidRPr="001115C5">
        <w:rPr>
          <w:rFonts w:ascii="Helvetica Neue" w:hAnsi="Helvetica Neue" w:cs="Arial"/>
        </w:rPr>
        <w:t>made a statement or claim directed to consumers or the public, including, but not limited to, text, color, images, or all, on the product’s labeling or packaging that are used to explicitly or implicitly communicate that the Cannabis, or Cannabis Product or an emission or by product thereof has a characterizing flavor or smells or tastes different from Cannabis; or</w:t>
      </w:r>
    </w:p>
    <w:p w14:paraId="11E5E40E" w14:textId="416DA2D8" w:rsidR="00D377A4" w:rsidRPr="001115C5" w:rsidRDefault="00D377A4" w:rsidP="00312BD2">
      <w:pPr>
        <w:pStyle w:val="ListParagraph"/>
        <w:numPr>
          <w:ilvl w:val="1"/>
          <w:numId w:val="4"/>
        </w:numPr>
        <w:spacing w:after="240"/>
        <w:ind w:left="936"/>
        <w:contextualSpacing w:val="0"/>
        <w:rPr>
          <w:rFonts w:ascii="Helvetica Neue" w:hAnsi="Helvetica Neue" w:cs="Arial"/>
        </w:rPr>
      </w:pPr>
      <w:r w:rsidRPr="001115C5">
        <w:rPr>
          <w:rFonts w:ascii="Helvetica Neue" w:hAnsi="Helvetica Neue" w:cs="Arial"/>
        </w:rPr>
        <w:t>taken action that would be reasonably expected to result in consumers receiving the message that the Cannabis or Cannabis Product, or an emission or byproduct thereof, smells or tastes different from Cannabis.</w:t>
      </w:r>
    </w:p>
    <w:p w14:paraId="053F7EBF" w14:textId="46E4317F" w:rsidR="00D377A4" w:rsidRPr="001115C5" w:rsidRDefault="00D377A4" w:rsidP="00312BD2">
      <w:pPr>
        <w:spacing w:after="240"/>
        <w:ind w:left="576"/>
        <w:rPr>
          <w:rFonts w:ascii="Helvetica Neue" w:hAnsi="Helvetica Neue" w:cs="Arial"/>
        </w:rPr>
      </w:pPr>
      <w:r w:rsidRPr="001115C5">
        <w:rPr>
          <w:rFonts w:ascii="Helvetica Neue" w:hAnsi="Helvetica Neue" w:cs="Arial"/>
        </w:rPr>
        <w:t>[</w:t>
      </w:r>
      <w:r w:rsidRPr="001115C5">
        <w:rPr>
          <w:rFonts w:ascii="Helvetica Neue" w:hAnsi="Helvetica Neue" w:cs="Arial"/>
          <w:i/>
          <w:iCs/>
        </w:rPr>
        <w:t>For example, while a limonene terpene may be naturally present in cannabis, addition of exogenous limonene or other added ingredient to produce a distinguishable citrus flavor or labeling the product as “lemon” or displaying images suggestive of a lemon would be considered characterizing flavors</w:t>
      </w:r>
      <w:r w:rsidR="000376A6" w:rsidRPr="001115C5">
        <w:rPr>
          <w:rFonts w:ascii="Helvetica Neue" w:hAnsi="Helvetica Neue" w:cs="Arial"/>
          <w:i/>
          <w:iCs/>
        </w:rPr>
        <w:t>.</w:t>
      </w:r>
      <w:r w:rsidRPr="001115C5">
        <w:rPr>
          <w:rFonts w:ascii="Helvetica Neue" w:hAnsi="Helvetica Neue" w:cs="Arial"/>
        </w:rPr>
        <w:t>]</w:t>
      </w:r>
    </w:p>
    <w:p w14:paraId="2523F217" w14:textId="77777777" w:rsidR="000376A6" w:rsidRPr="001115C5" w:rsidRDefault="00D377A4"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“Children or Youth”</w:t>
      </w:r>
      <w:r w:rsidRPr="001115C5">
        <w:rPr>
          <w:rFonts w:ascii="Helvetica Neue" w:hAnsi="Helvetica Neue" w:cs="Arial"/>
        </w:rPr>
        <w:t xml:space="preserve"> mean individuals under age 21.</w:t>
      </w:r>
    </w:p>
    <w:p w14:paraId="3C769D29" w14:textId="77777777" w:rsidR="000376A6" w:rsidRPr="001115C5" w:rsidRDefault="00D377A4"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“Constituent”</w:t>
      </w:r>
      <w:r w:rsidRPr="001115C5">
        <w:rPr>
          <w:rFonts w:ascii="Helvetica Neue" w:hAnsi="Helvetica Neue" w:cs="Arial"/>
        </w:rPr>
        <w:t xml:space="preserve"> means any ingredient, substance, chemical, or compound, other than Cannabis or water, that is added by a Manufacturer to a Cannabis Product during the processing, manufacture, or packing of the Cannabis Product.</w:t>
      </w:r>
    </w:p>
    <w:p w14:paraId="1560490F" w14:textId="3B4BBC50" w:rsidR="000376A6" w:rsidRPr="001115C5" w:rsidRDefault="00D377A4"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“Day Care Center”</w:t>
      </w:r>
      <w:r w:rsidRPr="001115C5">
        <w:rPr>
          <w:rFonts w:ascii="Helvetica Neue" w:hAnsi="Helvetica Neue" w:cs="Arial"/>
        </w:rPr>
        <w:t xml:space="preserve"> has the same meaning as in Section 1596.76 of the Health and Safety Code, as it may be amended from time to time. That section presently provides as follows: “a child day care facility other than a family day care home, and includes infant centers, preschools, extended day care facilities, and school age childcare centers, and includes childcare centers licensed pursuant to Section 1596.951</w:t>
      </w:r>
      <w:r w:rsidR="000376A6" w:rsidRPr="001115C5">
        <w:rPr>
          <w:rFonts w:ascii="Helvetica Neue" w:hAnsi="Helvetica Neue" w:cs="Arial"/>
        </w:rPr>
        <w:t>.</w:t>
      </w:r>
      <w:r w:rsidRPr="001115C5">
        <w:rPr>
          <w:rFonts w:ascii="Helvetica Neue" w:hAnsi="Helvetica Neue" w:cs="Arial"/>
        </w:rPr>
        <w:t>”</w:t>
      </w:r>
    </w:p>
    <w:p w14:paraId="6487B675" w14:textId="77777777" w:rsidR="000376A6" w:rsidRPr="001115C5" w:rsidRDefault="00D377A4"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“Delivery to the Consumer”</w:t>
      </w:r>
      <w:r w:rsidRPr="001115C5">
        <w:rPr>
          <w:rFonts w:ascii="Helvetica Neue" w:hAnsi="Helvetica Neue" w:cs="Arial"/>
        </w:rPr>
        <w:t xml:space="preserve"> means the commercial transfer of Cannabis or Cannabis Products to a customer at a location other than that permitted for the operations of a Cannabis Retailer. “Delivery to the Consumer” also includes, without limitation, the use by a retailer of any technology platform, whether belonging to the licensee or managed by a third party, for the purpose of a commercial transfer at a non-commercial location other than that permitted for the operations of a Cannabis Retailer.</w:t>
      </w:r>
    </w:p>
    <w:p w14:paraId="7C9A8206" w14:textId="125949CB" w:rsidR="00BA5361" w:rsidRPr="001115C5" w:rsidRDefault="00D377A4"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lastRenderedPageBreak/>
        <w:t>“Department”</w:t>
      </w:r>
      <w:r w:rsidRPr="001115C5">
        <w:rPr>
          <w:rFonts w:ascii="Helvetica Neue" w:hAnsi="Helvetica Neue" w:cs="Arial"/>
        </w:rPr>
        <w:t xml:space="preserve"> means </w:t>
      </w:r>
      <w:r w:rsidR="008B35D9" w:rsidRPr="001115C5">
        <w:rPr>
          <w:rFonts w:ascii="Helvetica Neue" w:hAnsi="Helvetica Neue" w:cs="Arial"/>
          <w:color w:val="FF0000"/>
        </w:rPr>
        <w:t>[City/County]</w:t>
      </w:r>
      <w:r w:rsidRPr="001115C5">
        <w:rPr>
          <w:rFonts w:ascii="Helvetica Neue" w:hAnsi="Helvetica Neue" w:cs="Arial"/>
        </w:rPr>
        <w:t xml:space="preserve"> Department of _____________ and any agency or Person designated by the Department to enforce or administer this </w:t>
      </w:r>
      <w:r w:rsidR="008B35D9" w:rsidRPr="001115C5">
        <w:rPr>
          <w:rFonts w:ascii="Helvetica Neue" w:hAnsi="Helvetica Neue" w:cs="Arial"/>
          <w:color w:val="FF0000"/>
        </w:rPr>
        <w:t>[Article/Chapter]</w:t>
      </w:r>
      <w:r w:rsidRPr="001115C5">
        <w:rPr>
          <w:rFonts w:ascii="Helvetica Neue" w:hAnsi="Helvetica Neue" w:cs="Arial"/>
        </w:rPr>
        <w:t>.</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C83167" w:rsidRPr="001115C5" w14:paraId="23FA5579" w14:textId="77777777" w:rsidTr="00C83167">
        <w:tc>
          <w:tcPr>
            <w:tcW w:w="10188" w:type="dxa"/>
            <w:shd w:val="clear" w:color="auto" w:fill="D9D9D9" w:themeFill="background1" w:themeFillShade="D9"/>
          </w:tcPr>
          <w:p w14:paraId="7F4C0F77" w14:textId="63842778" w:rsidR="00C83167" w:rsidRPr="001115C5" w:rsidRDefault="00C83167" w:rsidP="00C83167">
            <w:pPr>
              <w:spacing w:before="240" w:after="120" w:line="360" w:lineRule="auto"/>
              <w:rPr>
                <w:rFonts w:ascii="Helvetica Neue" w:eastAsia="Helvetica Neue" w:hAnsi="Helvetica Neue" w:cs="Arial"/>
              </w:rPr>
            </w:pPr>
            <w:bookmarkStart w:id="7" w:name="_Hlk57030969"/>
            <w:r w:rsidRPr="001115C5">
              <w:rPr>
                <w:rFonts w:ascii="Helvetica Neue" w:eastAsia="Helvetica Neue" w:hAnsi="Helvetica Neue" w:cs="Arial"/>
                <w:b/>
                <w:bCs/>
                <w:shd w:val="clear" w:color="auto" w:fill="D9D9D9" w:themeFill="background1" w:themeFillShade="D9"/>
              </w:rPr>
              <w:t>COMMENT:</w:t>
            </w:r>
            <w:r w:rsidRPr="001115C5">
              <w:rPr>
                <w:rFonts w:ascii="Helvetica Neue" w:eastAsia="Helvetica Neue" w:hAnsi="Helvetica Neue" w:cs="Arial"/>
              </w:rPr>
              <w:t xml:space="preserve"> This term is used in the ordinance to refer to the city or county agency charged with issuing conditional permits and enforcing the ordinance. While permit applications are likely to be submitted to an entity such as the Board of Zoning Adjustment, Zoning Administrator, Planning Commission, or Public Health Department, the city or county health department may be the most appropriate agency to monitor compliance with the ordinance requirements, given their public health focus. The primary enforcing agency may designate additional agencies to assist in administering and/or enforcing the ordinance.</w:t>
            </w:r>
          </w:p>
        </w:tc>
      </w:tr>
    </w:tbl>
    <w:bookmarkEnd w:id="7"/>
    <w:p w14:paraId="4A8F85E7" w14:textId="77777777" w:rsidR="00F831D7" w:rsidRPr="001115C5" w:rsidRDefault="00075D47" w:rsidP="00312BD2">
      <w:pPr>
        <w:pStyle w:val="ListParagraph"/>
        <w:numPr>
          <w:ilvl w:val="0"/>
          <w:numId w:val="4"/>
        </w:numPr>
        <w:spacing w:before="360" w:after="240"/>
        <w:ind w:left="450" w:hanging="450"/>
        <w:contextualSpacing w:val="0"/>
        <w:rPr>
          <w:rFonts w:ascii="Helvetica Neue" w:hAnsi="Helvetica Neue" w:cs="Arial"/>
        </w:rPr>
      </w:pPr>
      <w:r w:rsidRPr="001115C5">
        <w:rPr>
          <w:rFonts w:ascii="Helvetica Neue" w:hAnsi="Helvetica Neue" w:cs="Arial"/>
          <w:b/>
          <w:bCs/>
        </w:rPr>
        <w:t>“Distinguishable”</w:t>
      </w:r>
      <w:r w:rsidRPr="001115C5">
        <w:rPr>
          <w:rFonts w:ascii="Helvetica Neue" w:hAnsi="Helvetica Neue" w:cs="Arial"/>
        </w:rPr>
        <w:t xml:space="preserve"> means perceivable by an ordinary consumer by either the sense of smell or taste.</w:t>
      </w:r>
    </w:p>
    <w:p w14:paraId="09543BF5" w14:textId="77777777" w:rsidR="00F831D7" w:rsidRPr="001115C5" w:rsidRDefault="00075D47"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“Dried Flower”</w:t>
      </w:r>
      <w:r w:rsidRPr="001115C5">
        <w:rPr>
          <w:rFonts w:ascii="Helvetica Neue" w:hAnsi="Helvetica Neue" w:cs="Arial"/>
        </w:rPr>
        <w:t xml:space="preserve"> has the same definition as in CDFA Regulations section 8000(k) as it may be amended from time to time. That section currently defines “dried flower” as “all dead cannabis that has been harvested, dried, cured or otherwise processed, excluding leaves and stems.”</w:t>
      </w:r>
    </w:p>
    <w:p w14:paraId="3A8971D5" w14:textId="77777777" w:rsidR="00F831D7" w:rsidRPr="001115C5" w:rsidRDefault="00075D47"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“Edible Cannabis Product”</w:t>
      </w:r>
      <w:r w:rsidRPr="001115C5">
        <w:rPr>
          <w:rFonts w:ascii="Helvetica Neue" w:hAnsi="Helvetica Neue" w:cs="Arial"/>
        </w:rPr>
        <w:t xml:space="preserve"> has the same definition in CDPH Regulations section 40100(q) as it may be amended from time to time. That section currently defines edible cannabis product as “a cannabis product intended to be used orally, in whole or in part, for human consumption. For purposes of this chapter, “edible cannabis product” includes cannabis products that dissolve or disintegrate in the </w:t>
      </w:r>
      <w:proofErr w:type="gramStart"/>
      <w:r w:rsidRPr="001115C5">
        <w:rPr>
          <w:rFonts w:ascii="Helvetica Neue" w:hAnsi="Helvetica Neue" w:cs="Arial"/>
        </w:rPr>
        <w:t>mouth, but</w:t>
      </w:r>
      <w:proofErr w:type="gramEnd"/>
      <w:r w:rsidRPr="001115C5">
        <w:rPr>
          <w:rFonts w:ascii="Helvetica Neue" w:hAnsi="Helvetica Neue" w:cs="Arial"/>
        </w:rPr>
        <w:t xml:space="preserve"> does not include any product otherwise defined as “cannabis concentrate.”</w:t>
      </w:r>
    </w:p>
    <w:p w14:paraId="73884112" w14:textId="77777777" w:rsidR="00F831D7" w:rsidRPr="001115C5" w:rsidRDefault="00075D47"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“Equity Applicant”</w:t>
      </w:r>
      <w:r w:rsidRPr="001115C5">
        <w:rPr>
          <w:rFonts w:ascii="Helvetica Neue" w:hAnsi="Helvetica Neue" w:cs="Arial"/>
        </w:rPr>
        <w:t xml:space="preserve"> means an individual who has at least 51% ownership and meets three of the four following criteria:</w:t>
      </w:r>
    </w:p>
    <w:p w14:paraId="5C8CA396" w14:textId="2CA915BD" w:rsidR="00F831D7" w:rsidRPr="001115C5" w:rsidRDefault="00075D47" w:rsidP="00312BD2">
      <w:pPr>
        <w:pStyle w:val="ListParagraph"/>
        <w:numPr>
          <w:ilvl w:val="1"/>
          <w:numId w:val="4"/>
        </w:numPr>
        <w:spacing w:after="240"/>
        <w:ind w:left="936"/>
        <w:contextualSpacing w:val="0"/>
        <w:rPr>
          <w:rFonts w:ascii="Helvetica Neue" w:hAnsi="Helvetica Neue" w:cs="Arial"/>
        </w:rPr>
      </w:pPr>
      <w:r w:rsidRPr="001115C5">
        <w:rPr>
          <w:rFonts w:ascii="Helvetica Neue" w:hAnsi="Helvetica Neue" w:cs="Arial"/>
        </w:rPr>
        <w:t xml:space="preserve">Is a resident of </w:t>
      </w:r>
      <w:r w:rsidR="008B35D9" w:rsidRPr="001115C5">
        <w:rPr>
          <w:rFonts w:ascii="Helvetica Neue" w:hAnsi="Helvetica Neue" w:cs="Arial"/>
          <w:color w:val="FF0000"/>
        </w:rPr>
        <w:t>[City/County]</w:t>
      </w:r>
      <w:r w:rsidRPr="001115C5">
        <w:rPr>
          <w:rFonts w:ascii="Helvetica Neue" w:hAnsi="Helvetica Neue" w:cs="Arial"/>
        </w:rPr>
        <w:t xml:space="preserve"> who has an annual income below 200% of the Federal </w:t>
      </w:r>
      <w:proofErr w:type="gramStart"/>
      <w:r w:rsidRPr="001115C5">
        <w:rPr>
          <w:rFonts w:ascii="Helvetica Neue" w:hAnsi="Helvetica Neue" w:cs="Arial"/>
        </w:rPr>
        <w:t>Poverty Level;</w:t>
      </w:r>
      <w:proofErr w:type="gramEnd"/>
    </w:p>
    <w:p w14:paraId="43CE56D4" w14:textId="2510827C" w:rsidR="00F831D7" w:rsidRPr="001115C5" w:rsidRDefault="00075D47" w:rsidP="00312BD2">
      <w:pPr>
        <w:pStyle w:val="ListParagraph"/>
        <w:numPr>
          <w:ilvl w:val="1"/>
          <w:numId w:val="4"/>
        </w:numPr>
        <w:spacing w:after="240"/>
        <w:ind w:left="936"/>
        <w:contextualSpacing w:val="0"/>
        <w:rPr>
          <w:rFonts w:ascii="Helvetica Neue" w:hAnsi="Helvetica Neue" w:cs="Arial"/>
        </w:rPr>
      </w:pPr>
      <w:r w:rsidRPr="001115C5">
        <w:rPr>
          <w:rFonts w:ascii="Helvetica Neue" w:hAnsi="Helvetica Neue" w:cs="Arial"/>
        </w:rPr>
        <w:t xml:space="preserve">Who has lived for at least five of the last 10 years in specified </w:t>
      </w:r>
      <w:r w:rsidRPr="001115C5">
        <w:rPr>
          <w:rFonts w:ascii="Helvetica Neue" w:hAnsi="Helvetica Neue" w:cs="Arial"/>
          <w:color w:val="FF0000"/>
        </w:rPr>
        <w:t>[census tracts or zip codes]</w:t>
      </w:r>
      <w:r w:rsidRPr="001115C5">
        <w:rPr>
          <w:rFonts w:ascii="Helvetica Neue" w:hAnsi="Helvetica Neue" w:cs="Arial"/>
        </w:rPr>
        <w:t xml:space="preserve"> of the </w:t>
      </w:r>
      <w:r w:rsidR="008B35D9" w:rsidRPr="001115C5">
        <w:rPr>
          <w:rFonts w:ascii="Helvetica Neue" w:hAnsi="Helvetica Neue" w:cs="Arial"/>
          <w:color w:val="FF0000"/>
        </w:rPr>
        <w:t>[City/County]</w:t>
      </w:r>
      <w:r w:rsidRPr="001115C5">
        <w:rPr>
          <w:rFonts w:ascii="Helvetica Neue" w:hAnsi="Helvetica Neue" w:cs="Arial"/>
        </w:rPr>
        <w:t xml:space="preserve"> most affected by high incarceration rates for drug related offenses or in a Target Area Contract Preference Act (TACPA) qualified </w:t>
      </w:r>
      <w:proofErr w:type="gramStart"/>
      <w:r w:rsidRPr="001115C5">
        <w:rPr>
          <w:rFonts w:ascii="Helvetica Neue" w:hAnsi="Helvetica Neue" w:cs="Arial"/>
        </w:rPr>
        <w:t>zone;</w:t>
      </w:r>
      <w:proofErr w:type="gramEnd"/>
    </w:p>
    <w:p w14:paraId="5547BEC3" w14:textId="77777777" w:rsidR="00F831D7" w:rsidRPr="001115C5" w:rsidRDefault="00075D47" w:rsidP="00312BD2">
      <w:pPr>
        <w:pStyle w:val="ListParagraph"/>
        <w:numPr>
          <w:ilvl w:val="1"/>
          <w:numId w:val="4"/>
        </w:numPr>
        <w:spacing w:after="240"/>
        <w:ind w:left="936"/>
        <w:contextualSpacing w:val="0"/>
        <w:rPr>
          <w:rFonts w:ascii="Helvetica Neue" w:hAnsi="Helvetica Neue" w:cs="Arial"/>
        </w:rPr>
      </w:pPr>
      <w:r w:rsidRPr="001115C5">
        <w:rPr>
          <w:rFonts w:ascii="Helvetica Neue" w:hAnsi="Helvetica Neue" w:cs="Arial"/>
        </w:rPr>
        <w:t xml:space="preserve">Has been arrested or convicted of a cannabis or drug related offense that is eligible for </w:t>
      </w:r>
      <w:proofErr w:type="gramStart"/>
      <w:r w:rsidRPr="001115C5">
        <w:rPr>
          <w:rFonts w:ascii="Helvetica Neue" w:hAnsi="Helvetica Neue" w:cs="Arial"/>
        </w:rPr>
        <w:t>expungement;</w:t>
      </w:r>
      <w:proofErr w:type="gramEnd"/>
    </w:p>
    <w:p w14:paraId="2C3C0790" w14:textId="6AF1B208" w:rsidR="00C83167" w:rsidRPr="001115C5" w:rsidRDefault="00075D47" w:rsidP="00312BD2">
      <w:pPr>
        <w:pStyle w:val="ListParagraph"/>
        <w:numPr>
          <w:ilvl w:val="1"/>
          <w:numId w:val="4"/>
        </w:numPr>
        <w:spacing w:after="240"/>
        <w:ind w:left="936"/>
        <w:contextualSpacing w:val="0"/>
        <w:rPr>
          <w:rFonts w:ascii="Helvetica Neue" w:hAnsi="Helvetica Neue" w:cs="Arial"/>
        </w:rPr>
      </w:pPr>
      <w:r w:rsidRPr="001115C5">
        <w:rPr>
          <w:rFonts w:ascii="Helvetica Neue" w:hAnsi="Helvetica Neue" w:cs="Arial"/>
        </w:rPr>
        <w:t>Has a net worth under $250,000.</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075D47" w:rsidRPr="001115C5" w14:paraId="1DDB600A" w14:textId="77777777" w:rsidTr="00EB22B8">
        <w:tc>
          <w:tcPr>
            <w:tcW w:w="10188" w:type="dxa"/>
            <w:shd w:val="clear" w:color="auto" w:fill="D9D9D9" w:themeFill="background1" w:themeFillShade="D9"/>
          </w:tcPr>
          <w:p w14:paraId="1483C2F8" w14:textId="7E5C46A7" w:rsidR="00075D47" w:rsidRPr="001115C5" w:rsidRDefault="00075D47" w:rsidP="00EB22B8">
            <w:pPr>
              <w:spacing w:before="240" w:after="120" w:line="360" w:lineRule="auto"/>
              <w:rPr>
                <w:rFonts w:ascii="Helvetica Neue" w:eastAsia="Helvetica Neue" w:hAnsi="Helvetica Neue" w:cs="Arial"/>
              </w:rPr>
            </w:pPr>
            <w:r w:rsidRPr="001115C5">
              <w:rPr>
                <w:rFonts w:ascii="Helvetica Neue" w:eastAsia="Helvetica Neue" w:hAnsi="Helvetica Neue" w:cs="Arial"/>
                <w:b/>
                <w:bCs/>
                <w:shd w:val="clear" w:color="auto" w:fill="D9D9D9" w:themeFill="background1" w:themeFillShade="D9"/>
              </w:rPr>
              <w:lastRenderedPageBreak/>
              <w:t>COMMENT:</w:t>
            </w:r>
            <w:r w:rsidRPr="001115C5">
              <w:rPr>
                <w:rFonts w:ascii="Helvetica Neue" w:eastAsia="Helvetica Neue" w:hAnsi="Helvetica Neue" w:cs="Arial"/>
              </w:rPr>
              <w:t xml:space="preserve"> There are a number of indices that can be used to define Equity Applicant including, without limitation, high school graduation rates, homelessness, and access to health care.</w:t>
            </w:r>
          </w:p>
        </w:tc>
      </w:tr>
    </w:tbl>
    <w:p w14:paraId="6BBA55DB" w14:textId="77777777" w:rsidR="008005B8" w:rsidRPr="001115C5" w:rsidRDefault="00075D47" w:rsidP="00312BD2">
      <w:pPr>
        <w:pStyle w:val="ListParagraph"/>
        <w:numPr>
          <w:ilvl w:val="0"/>
          <w:numId w:val="4"/>
        </w:numPr>
        <w:spacing w:before="480" w:after="240"/>
        <w:ind w:left="450" w:hanging="450"/>
        <w:contextualSpacing w:val="0"/>
        <w:rPr>
          <w:rFonts w:ascii="Helvetica Neue" w:hAnsi="Helvetica Neue" w:cs="Arial"/>
        </w:rPr>
      </w:pPr>
      <w:r w:rsidRPr="001115C5">
        <w:rPr>
          <w:rFonts w:ascii="Helvetica Neue" w:hAnsi="Helvetica Neue" w:cs="Arial"/>
          <w:b/>
          <w:bCs/>
        </w:rPr>
        <w:t>“Equity Hire”</w:t>
      </w:r>
      <w:r w:rsidRPr="001115C5">
        <w:rPr>
          <w:rFonts w:ascii="Helvetica Neue" w:hAnsi="Helvetica Neue" w:cs="Arial"/>
        </w:rPr>
        <w:t xml:space="preserve"> has the same definition as Equity Applicant without the ownership requirements</w:t>
      </w:r>
      <w:r w:rsidR="000A56F9" w:rsidRPr="001115C5">
        <w:rPr>
          <w:rFonts w:ascii="Helvetica Neue" w:hAnsi="Helvetica Neue" w:cs="Arial"/>
        </w:rPr>
        <w:t>.</w:t>
      </w:r>
    </w:p>
    <w:p w14:paraId="55AF6D69" w14:textId="77777777" w:rsidR="008005B8" w:rsidRPr="001115C5" w:rsidRDefault="00075D47"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“Flavored Cannabis or Cannabis Product”</w:t>
      </w:r>
      <w:r w:rsidRPr="001115C5">
        <w:rPr>
          <w:rFonts w:ascii="Helvetica Neue" w:hAnsi="Helvetica Neue" w:cs="Arial"/>
        </w:rPr>
        <w:t xml:space="preserve"> means any Cannabis or Cannabis Product that contains one or more Constituents or characteristics that impart a Characterizing Flavor.</w:t>
      </w:r>
    </w:p>
    <w:p w14:paraId="4849531C" w14:textId="77777777" w:rsidR="009E649E" w:rsidRPr="001115C5" w:rsidRDefault="00075D47"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“Health-Related Statement"</w:t>
      </w:r>
      <w:r w:rsidRPr="001115C5">
        <w:rPr>
          <w:rFonts w:ascii="Helvetica Neue" w:hAnsi="Helvetica Neue" w:cs="Arial"/>
        </w:rPr>
        <w:t xml:space="preserve"> means any statement related to health and includes without limitation statements of a curative or therapeutic nature that, expressly or by implication, suggest a relationship between the consumption of Cannabis or Cannabis Products and health benefits or effects.</w:t>
      </w:r>
    </w:p>
    <w:p w14:paraId="1CC38AD5" w14:textId="77777777" w:rsidR="009E649E" w:rsidRPr="001115C5" w:rsidRDefault="00075D47"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“Labeling”</w:t>
      </w:r>
      <w:r w:rsidRPr="001115C5">
        <w:rPr>
          <w:rFonts w:ascii="Helvetica Neue" w:hAnsi="Helvetica Neue" w:cs="Arial"/>
        </w:rPr>
        <w:t xml:space="preserve"> means any label or other written, printed, or graphic matter upon Cannabis or a Cannabis Product, upon its container or wrapper, or that accompanies any Cannabis or Cannabis Product.</w:t>
      </w:r>
    </w:p>
    <w:p w14:paraId="51E98DBC" w14:textId="77777777" w:rsidR="009E649E" w:rsidRPr="001115C5" w:rsidRDefault="00075D47"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“Listed Price”</w:t>
      </w:r>
      <w:r w:rsidRPr="001115C5">
        <w:rPr>
          <w:rFonts w:ascii="Helvetica Neue" w:hAnsi="Helvetica Neue" w:cs="Arial"/>
        </w:rPr>
        <w:t xml:space="preserve"> means the price listed for a specific weight of flower or for Cannabis Products on their packages or on any related shelving, posting, advertising or display at the point of sale, including all applicable taxes.</w:t>
      </w:r>
    </w:p>
    <w:p w14:paraId="2518111A" w14:textId="77777777" w:rsidR="009E649E" w:rsidRPr="001115C5" w:rsidRDefault="00075D47"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“Manufacturer”</w:t>
      </w:r>
      <w:r w:rsidRPr="001115C5">
        <w:rPr>
          <w:rFonts w:ascii="Helvetica Neue" w:hAnsi="Helvetica Neue" w:cs="Arial"/>
        </w:rPr>
        <w:t xml:space="preserve"> is a holder of the manufacture license issued pursuant to the Medicinal and Adult-Use Cannabis Regulation and Safety Act.</w:t>
      </w:r>
    </w:p>
    <w:p w14:paraId="1CB84636" w14:textId="77777777" w:rsidR="009E649E" w:rsidRPr="001115C5" w:rsidRDefault="00075D47"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“Marijuana”</w:t>
      </w:r>
      <w:r w:rsidRPr="001115C5">
        <w:rPr>
          <w:rFonts w:ascii="Helvetica Neue" w:hAnsi="Helvetica Neue" w:cs="Arial"/>
        </w:rPr>
        <w:t xml:space="preserve"> has the same meaning as the term “Cannabis</w:t>
      </w:r>
      <w:r w:rsidR="009E649E" w:rsidRPr="001115C5">
        <w:rPr>
          <w:rFonts w:ascii="Helvetica Neue" w:hAnsi="Helvetica Neue" w:cs="Arial"/>
        </w:rPr>
        <w:t>.</w:t>
      </w:r>
      <w:r w:rsidRPr="001115C5">
        <w:rPr>
          <w:rFonts w:ascii="Helvetica Neue" w:hAnsi="Helvetica Neue" w:cs="Arial"/>
        </w:rPr>
        <w:t>”</w:t>
      </w:r>
    </w:p>
    <w:p w14:paraId="2F6CFA54" w14:textId="77777777" w:rsidR="009E649E" w:rsidRPr="001115C5" w:rsidRDefault="00075D47"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“Marketing”</w:t>
      </w:r>
      <w:r w:rsidRPr="001115C5">
        <w:rPr>
          <w:rFonts w:ascii="Helvetica Neue" w:hAnsi="Helvetica Neue" w:cs="Arial"/>
        </w:rPr>
        <w:t xml:space="preserve"> means any act or process of promoting or selling Cannabis or Cannabis Products, including, without limitation, </w:t>
      </w:r>
      <w:r w:rsidR="000A56F9" w:rsidRPr="001115C5">
        <w:rPr>
          <w:rFonts w:ascii="Helvetica Neue" w:hAnsi="Helvetica Neue" w:cs="Arial"/>
        </w:rPr>
        <w:t>A</w:t>
      </w:r>
      <w:r w:rsidRPr="001115C5">
        <w:rPr>
          <w:rFonts w:ascii="Helvetica Neue" w:hAnsi="Helvetica Neue" w:cs="Arial"/>
        </w:rPr>
        <w:t>dvertisements, sponsorship of events, offers such as tickets on events and/or branded merchandise.</w:t>
      </w:r>
    </w:p>
    <w:p w14:paraId="0C35563E" w14:textId="77777777" w:rsidR="009E649E" w:rsidRPr="001115C5" w:rsidRDefault="00075D47"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“Opaque Exit Package”</w:t>
      </w:r>
      <w:r w:rsidRPr="001115C5">
        <w:rPr>
          <w:rFonts w:ascii="Helvetica Neue" w:hAnsi="Helvetica Neue" w:cs="Arial"/>
        </w:rPr>
        <w:t xml:space="preserve"> means an opaque bag, box or similar container provided by a Cannabis Retailer, as distinct from the original Packaging from a Manufacturer, in which purchased Cannabis or Cannabis Products are placed before a customer departs the point of sale.</w:t>
      </w:r>
    </w:p>
    <w:p w14:paraId="4A464347" w14:textId="77777777" w:rsidR="009E649E" w:rsidRPr="001115C5" w:rsidRDefault="00075D47"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“Owner”</w:t>
      </w:r>
      <w:r w:rsidRPr="001115C5">
        <w:rPr>
          <w:rFonts w:ascii="Helvetica Neue" w:hAnsi="Helvetica Neue" w:cs="Arial"/>
        </w:rPr>
        <w:t xml:space="preserve"> means any of the following:</w:t>
      </w:r>
    </w:p>
    <w:p w14:paraId="68E588C3" w14:textId="77777777" w:rsidR="009E649E" w:rsidRPr="001115C5" w:rsidRDefault="00075D47" w:rsidP="00312BD2">
      <w:pPr>
        <w:pStyle w:val="ListParagraph"/>
        <w:numPr>
          <w:ilvl w:val="1"/>
          <w:numId w:val="4"/>
        </w:numPr>
        <w:spacing w:after="240"/>
        <w:ind w:left="936"/>
        <w:contextualSpacing w:val="0"/>
        <w:rPr>
          <w:rFonts w:ascii="Helvetica Neue" w:hAnsi="Helvetica Neue" w:cs="Arial"/>
        </w:rPr>
      </w:pPr>
      <w:r w:rsidRPr="001115C5">
        <w:rPr>
          <w:rFonts w:ascii="Helvetica Neue" w:hAnsi="Helvetica Neue" w:cs="Arial"/>
        </w:rPr>
        <w:t xml:space="preserve">A person with an aggregate ownership interest of 20 percent or more in the person applying for a permit or holding a permit, unless the interest is solely a security, lien, or </w:t>
      </w:r>
      <w:proofErr w:type="gramStart"/>
      <w:r w:rsidRPr="001115C5">
        <w:rPr>
          <w:rFonts w:ascii="Helvetica Neue" w:hAnsi="Helvetica Neue" w:cs="Arial"/>
        </w:rPr>
        <w:t>encumbrance;</w:t>
      </w:r>
      <w:proofErr w:type="gramEnd"/>
    </w:p>
    <w:p w14:paraId="1E0E4DCD" w14:textId="77777777" w:rsidR="009E649E" w:rsidRPr="001115C5" w:rsidRDefault="00075D47" w:rsidP="00312BD2">
      <w:pPr>
        <w:pStyle w:val="ListParagraph"/>
        <w:numPr>
          <w:ilvl w:val="1"/>
          <w:numId w:val="4"/>
        </w:numPr>
        <w:spacing w:after="240"/>
        <w:ind w:left="936"/>
        <w:contextualSpacing w:val="0"/>
        <w:rPr>
          <w:rFonts w:ascii="Helvetica Neue" w:hAnsi="Helvetica Neue" w:cs="Arial"/>
        </w:rPr>
      </w:pPr>
      <w:r w:rsidRPr="001115C5">
        <w:rPr>
          <w:rFonts w:ascii="Helvetica Neue" w:hAnsi="Helvetica Neue" w:cs="Arial"/>
        </w:rPr>
        <w:t xml:space="preserve">The chief executive officer of a nonprofit or other entity applying for a permit or holding a </w:t>
      </w:r>
      <w:proofErr w:type="gramStart"/>
      <w:r w:rsidRPr="001115C5">
        <w:rPr>
          <w:rFonts w:ascii="Helvetica Neue" w:hAnsi="Helvetica Neue" w:cs="Arial"/>
        </w:rPr>
        <w:t>permit;</w:t>
      </w:r>
      <w:proofErr w:type="gramEnd"/>
    </w:p>
    <w:p w14:paraId="2C78B381" w14:textId="77777777" w:rsidR="009E649E" w:rsidRPr="001115C5" w:rsidRDefault="00075D47" w:rsidP="00312BD2">
      <w:pPr>
        <w:pStyle w:val="ListParagraph"/>
        <w:numPr>
          <w:ilvl w:val="1"/>
          <w:numId w:val="4"/>
        </w:numPr>
        <w:spacing w:after="240"/>
        <w:ind w:left="936"/>
        <w:contextualSpacing w:val="0"/>
        <w:rPr>
          <w:rFonts w:ascii="Helvetica Neue" w:hAnsi="Helvetica Neue" w:cs="Arial"/>
        </w:rPr>
      </w:pPr>
      <w:r w:rsidRPr="001115C5">
        <w:rPr>
          <w:rFonts w:ascii="Helvetica Neue" w:hAnsi="Helvetica Neue" w:cs="Arial"/>
        </w:rPr>
        <w:lastRenderedPageBreak/>
        <w:t>A member of the board of directors of such a nonprofit; or</w:t>
      </w:r>
    </w:p>
    <w:p w14:paraId="3A3E4464" w14:textId="59CB88A6" w:rsidR="00A352BF" w:rsidRPr="001115C5" w:rsidRDefault="00075D47" w:rsidP="00312BD2">
      <w:pPr>
        <w:pStyle w:val="ListParagraph"/>
        <w:numPr>
          <w:ilvl w:val="1"/>
          <w:numId w:val="4"/>
        </w:numPr>
        <w:spacing w:after="240"/>
        <w:ind w:left="936"/>
        <w:contextualSpacing w:val="0"/>
        <w:rPr>
          <w:rFonts w:ascii="Helvetica Neue" w:hAnsi="Helvetica Neue" w:cs="Arial"/>
        </w:rPr>
      </w:pPr>
      <w:r w:rsidRPr="001115C5">
        <w:rPr>
          <w:rFonts w:ascii="Helvetica Neue" w:hAnsi="Helvetica Neue" w:cs="Arial"/>
        </w:rPr>
        <w:t>An individual who does or will participate in the direction, control, or management of the person applying for a permit.</w:t>
      </w:r>
    </w:p>
    <w:p w14:paraId="7AF71173" w14:textId="4AF5294D" w:rsidR="00075D47" w:rsidRPr="001115C5" w:rsidRDefault="00075D47" w:rsidP="00312BD2">
      <w:pPr>
        <w:spacing w:after="240"/>
        <w:ind w:left="936" w:hanging="360"/>
        <w:rPr>
          <w:rFonts w:ascii="Helvetica Neue" w:hAnsi="Helvetica Neue" w:cs="Arial"/>
        </w:rPr>
      </w:pPr>
      <w:r w:rsidRPr="001115C5">
        <w:rPr>
          <w:rFonts w:ascii="Helvetica Neue" w:hAnsi="Helvetica Neue" w:cs="Arial"/>
        </w:rPr>
        <w:t>No licensed physician or other licensed medical prescriber may be an “Owner.”</w:t>
      </w:r>
    </w:p>
    <w:p w14:paraId="28C22A9D" w14:textId="77777777" w:rsidR="00A352BF" w:rsidRPr="001115C5" w:rsidRDefault="00075D47"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“Package” or “Packaging”</w:t>
      </w:r>
      <w:r w:rsidRPr="001115C5">
        <w:rPr>
          <w:rFonts w:ascii="Helvetica Neue" w:hAnsi="Helvetica Neue" w:cs="Arial"/>
        </w:rPr>
        <w:t xml:space="preserve"> means any container or wrapper that may be used for enclosing or containing any Cannabis Products. “Package” does not include any shipping container or outer wrapping used solely for the transportation of Cannabis or Cannabis Products in bulk to another licensee or licensed premises.</w:t>
      </w:r>
    </w:p>
    <w:p w14:paraId="071C5427" w14:textId="77777777" w:rsidR="00A352BF" w:rsidRPr="001115C5" w:rsidRDefault="00075D47"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“Person”</w:t>
      </w:r>
      <w:r w:rsidRPr="001115C5">
        <w:rPr>
          <w:rFonts w:ascii="Helvetica Neue" w:hAnsi="Helvetica Neue" w:cs="Arial"/>
        </w:rPr>
        <w:t xml:space="preserve"> includes any individual, firm, partnership, joint venture, association, corporation, limited liability company, estate, trust, business trust, receiver, syndicate, or any other group or combination acting collectively, and includes the plural as well as the singular.</w:t>
      </w:r>
    </w:p>
    <w:p w14:paraId="2A252623" w14:textId="4D3CB290" w:rsidR="00A352BF" w:rsidRPr="001115C5" w:rsidRDefault="00075D47"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“Pharmacy”</w:t>
      </w:r>
      <w:r w:rsidRPr="001115C5">
        <w:rPr>
          <w:rFonts w:ascii="Helvetica Neue" w:hAnsi="Helvetica Neue" w:cs="Arial"/>
        </w:rPr>
        <w:t xml:space="preserve"> means any retail establishment in which the profession of pharmacy is practiced by a pharmacist licensed by the State of California in accordance with the Business and Professions Code and where prescription pharmaceuticals are offered for sale, regardless of whether the retail establishment also sells other retail goods.</w:t>
      </w:r>
    </w:p>
    <w:p w14:paraId="1CEB0A0A" w14:textId="77777777" w:rsidR="00A352BF" w:rsidRPr="001115C5" w:rsidRDefault="00075D47"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“Premises”</w:t>
      </w:r>
      <w:r w:rsidRPr="001115C5">
        <w:rPr>
          <w:rFonts w:ascii="Helvetica Neue" w:hAnsi="Helvetica Neue" w:cs="Arial"/>
        </w:rPr>
        <w:t xml:space="preserve"> means the designated structure(s) (or separately demised portion of a structure) and land specified in the application that is owned, leased, or otherwise controlled by the applicant or permit holder and in or one which commercial Cannabis activity is or will be conducted. A Premises is be a contiguous area and may be used for commercial Cannabis activity by only one permit holder.</w:t>
      </w:r>
    </w:p>
    <w:p w14:paraId="09E51B6C" w14:textId="1175C46D" w:rsidR="00A352BF" w:rsidRPr="001115C5" w:rsidRDefault="00075D47"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“Prescriber”</w:t>
      </w:r>
      <w:r w:rsidRPr="001115C5">
        <w:rPr>
          <w:rFonts w:ascii="Helvetica Neue" w:hAnsi="Helvetica Neue" w:cs="Arial"/>
        </w:rPr>
        <w:t xml:space="preserve"> shall have the same meaning as in Cal. Bus. &amp; Prof. Code §4170(c), as it may be amended from time to time. That section presently provides as follows: “Prescriber,” as used in this section, means a person, who holds a physician’s and surgeon’s certificate, a license to practice optometry, a license to practice naturopathic medicine, a license to practice dentistry, a license to practice veterinary medicine, or a certificate to practice podiatry, and who is duly registered by the Medical Board of California, the Osteopathic Medical Board of California, the State Board of Optometry, the Bureau of Naturopathic Medicine, the Dental Board of California, the Veterinary Medical Board, or the California Board of Podiatric Medicine.”</w:t>
      </w:r>
    </w:p>
    <w:p w14:paraId="0539CB50" w14:textId="77777777" w:rsidR="00A352BF" w:rsidRPr="001115C5" w:rsidRDefault="00075D47"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“Price Reduction Instrument”</w:t>
      </w:r>
      <w:r w:rsidRPr="001115C5">
        <w:rPr>
          <w:rFonts w:ascii="Helvetica Neue" w:hAnsi="Helvetica Neue" w:cs="Arial"/>
        </w:rPr>
        <w:t xml:space="preserve"> means any coupon, voucher, rebate, card, paper, note, form, statement, ticket, image, or other issue, whether in paper, digital, or any other form, allowing one to receive an article, product, service, or accommodation (except for the compassionate use exceptions) without charge or at a discounted price.</w:t>
      </w:r>
    </w:p>
    <w:p w14:paraId="3413A0EA" w14:textId="77777777" w:rsidR="00A352BF" w:rsidRPr="001115C5" w:rsidRDefault="00075D47"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lastRenderedPageBreak/>
        <w:t>“Purchaser”</w:t>
      </w:r>
      <w:r w:rsidRPr="001115C5">
        <w:rPr>
          <w:rFonts w:ascii="Helvetica Neue" w:hAnsi="Helvetica Neue" w:cs="Arial"/>
        </w:rPr>
        <w:t xml:space="preserve"> means a customer who engages in a transaction with a permit holder to obtain Cannabis or Cannabis Products.</w:t>
      </w:r>
    </w:p>
    <w:p w14:paraId="798080E3" w14:textId="77777777" w:rsidR="00A352BF" w:rsidRPr="001115C5" w:rsidRDefault="00075D47"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“Self-Service Display”</w:t>
      </w:r>
      <w:r w:rsidRPr="001115C5">
        <w:rPr>
          <w:rFonts w:ascii="Helvetica Neue" w:hAnsi="Helvetica Neue" w:cs="Arial"/>
        </w:rPr>
        <w:t xml:space="preserve"> means the open display or storage of Cannabis or Cannabis Products or Accessories in a manner that is accessible to customers other than with the assistance of the Cannabis Retailer or an employee of the Cannabis Retailer. A vending machine is a form of Self-Service Display.</w:t>
      </w:r>
    </w:p>
    <w:p w14:paraId="74968D7F" w14:textId="77777777" w:rsidR="00A352BF" w:rsidRPr="001115C5" w:rsidRDefault="00075D47"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“Sale”</w:t>
      </w:r>
      <w:r w:rsidRPr="001115C5">
        <w:rPr>
          <w:rFonts w:ascii="Helvetica Neue" w:hAnsi="Helvetica Neue" w:cs="Arial"/>
        </w:rPr>
        <w:t xml:space="preserve"> refers to any transaction by which, Cannabis </w:t>
      </w:r>
      <w:proofErr w:type="gramStart"/>
      <w:r w:rsidRPr="001115C5">
        <w:rPr>
          <w:rFonts w:ascii="Helvetica Neue" w:hAnsi="Helvetica Neue" w:cs="Arial"/>
        </w:rPr>
        <w:t>is</w:t>
      </w:r>
      <w:proofErr w:type="gramEnd"/>
      <w:r w:rsidRPr="001115C5">
        <w:rPr>
          <w:rFonts w:ascii="Helvetica Neue" w:hAnsi="Helvetica Neue" w:cs="Arial"/>
        </w:rPr>
        <w:t xml:space="preserve"> or Cannabis Products are transferred for any consideration, and includes the Delivery to the Consumer of Cannabis or Cannabis Products, but does not include the return of Cannabis or Cannabis Products to the permit holder from whom the Cannabis or Cannabis Product was purchased. “Sell” references offering to, or engaging in, a sale.</w:t>
      </w:r>
    </w:p>
    <w:p w14:paraId="3C21810F" w14:textId="77777777" w:rsidR="00A352BF" w:rsidRPr="001115C5" w:rsidRDefault="00075D47"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“Target Area Contract Preference Act (TACPA)”</w:t>
      </w:r>
      <w:r w:rsidRPr="001115C5">
        <w:rPr>
          <w:rFonts w:ascii="Helvetica Neue" w:hAnsi="Helvetica Neue" w:cs="Arial"/>
        </w:rPr>
        <w:t xml:space="preserve"> refers to the act found at California Government Code, Title I, Division 5, Chapter 10.5, Section 4530 </w:t>
      </w:r>
      <w:r w:rsidRPr="001115C5">
        <w:rPr>
          <w:rFonts w:ascii="Helvetica Neue" w:hAnsi="Helvetica Neue" w:cs="Arial"/>
          <w:i/>
          <w:iCs/>
        </w:rPr>
        <w:t>et seq</w:t>
      </w:r>
      <w:r w:rsidRPr="001115C5">
        <w:rPr>
          <w:rFonts w:ascii="Helvetica Neue" w:hAnsi="Helvetica Neue" w:cs="Arial"/>
        </w:rPr>
        <w:t>.</w:t>
      </w:r>
    </w:p>
    <w:p w14:paraId="59E50272" w14:textId="77777777" w:rsidR="00A352BF" w:rsidRPr="001115C5" w:rsidRDefault="00075D47"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“Tincture”</w:t>
      </w:r>
      <w:r w:rsidRPr="001115C5">
        <w:rPr>
          <w:rFonts w:ascii="Helvetica Neue" w:hAnsi="Helvetica Neue" w:cs="Arial"/>
        </w:rPr>
        <w:t xml:space="preserve"> means a Cannabis-infused solution derived either directly from the Cannabis plant or from a processed Cannabis extract that is combined with 50 percent or greater food grade ethyl alcohol, glycerin, or vegetable oils that: (</w:t>
      </w:r>
      <w:proofErr w:type="spellStart"/>
      <w:r w:rsidRPr="001115C5">
        <w:rPr>
          <w:rFonts w:ascii="Helvetica Neue" w:hAnsi="Helvetica Neue" w:cs="Arial"/>
        </w:rPr>
        <w:t>i</w:t>
      </w:r>
      <w:proofErr w:type="spellEnd"/>
      <w:r w:rsidRPr="001115C5">
        <w:rPr>
          <w:rFonts w:ascii="Helvetica Neue" w:hAnsi="Helvetica Neue" w:cs="Arial"/>
        </w:rPr>
        <w:t>) are distributed in a dropper bottle of 4 ounces or less; and (ii) contain no additional non-Cannabis ingredients except potable water.</w:t>
      </w:r>
    </w:p>
    <w:p w14:paraId="21ACACB3" w14:textId="7E13D526" w:rsidR="00075D47" w:rsidRPr="001115C5" w:rsidRDefault="00075D47" w:rsidP="00312BD2">
      <w:pPr>
        <w:pStyle w:val="ListParagraph"/>
        <w:numPr>
          <w:ilvl w:val="0"/>
          <w:numId w:val="4"/>
        </w:numPr>
        <w:spacing w:after="240"/>
        <w:ind w:left="450" w:hanging="450"/>
        <w:contextualSpacing w:val="0"/>
        <w:rPr>
          <w:rFonts w:ascii="Helvetica Neue" w:hAnsi="Helvetica Neue" w:cs="Arial"/>
        </w:rPr>
      </w:pPr>
      <w:r w:rsidRPr="001115C5">
        <w:rPr>
          <w:rFonts w:ascii="Helvetica Neue" w:hAnsi="Helvetica Neue" w:cs="Arial"/>
          <w:b/>
          <w:bCs/>
        </w:rPr>
        <w:t>“Youth Center”</w:t>
      </w:r>
      <w:r w:rsidRPr="001115C5">
        <w:rPr>
          <w:rFonts w:ascii="Helvetica Neue" w:hAnsi="Helvetica Neue" w:cs="Arial"/>
        </w:rPr>
        <w:t xml:space="preserve"> has the same meaning as in Section 11353.1(e)(2) of the Health and Safety Code, as it may be amended from time to time. That section presently provides as follows: “Youth Center means any public or private facility that is primarily used to host recreational or social activities for minors, including, but not limited to, private youth membership organizations or clubs, social service teenage club facilities, video arcades, or similar amusement park facilities.”</w:t>
      </w:r>
    </w:p>
    <w:p w14:paraId="18D19F4D" w14:textId="1221903A" w:rsidR="00075D47" w:rsidRPr="001115C5" w:rsidRDefault="00075D47" w:rsidP="00312BD2">
      <w:pPr>
        <w:pStyle w:val="Heading3"/>
        <w:spacing w:before="480" w:after="240"/>
        <w:rPr>
          <w:rFonts w:ascii="Helvetica Neue" w:hAnsi="Helvetica Neue"/>
        </w:rPr>
      </w:pPr>
      <w:bookmarkStart w:id="8" w:name="_Toc65578294"/>
      <w:r w:rsidRPr="001115C5">
        <w:rPr>
          <w:rFonts w:ascii="Helvetica Neue" w:hAnsi="Helvetica Neue"/>
        </w:rPr>
        <w:t>Section B. PERMITTING STANDARDS</w:t>
      </w:r>
      <w:bookmarkEnd w:id="8"/>
    </w:p>
    <w:p w14:paraId="569482C8" w14:textId="664B703E" w:rsidR="00312BD2" w:rsidRPr="001115C5" w:rsidRDefault="00075D47" w:rsidP="00064063">
      <w:pPr>
        <w:pStyle w:val="ListParagraph"/>
        <w:numPr>
          <w:ilvl w:val="0"/>
          <w:numId w:val="5"/>
        </w:numPr>
        <w:spacing w:before="240" w:after="240"/>
        <w:contextualSpacing w:val="0"/>
        <w:rPr>
          <w:rFonts w:ascii="Helvetica Neue" w:hAnsi="Helvetica Neue" w:cs="Arial"/>
        </w:rPr>
      </w:pPr>
      <w:r w:rsidRPr="001115C5">
        <w:rPr>
          <w:rFonts w:ascii="Helvetica Neue" w:hAnsi="Helvetica Neue" w:cs="Arial"/>
          <w:b/>
          <w:bCs/>
        </w:rPr>
        <w:t>Conditional Use Permit Required</w:t>
      </w:r>
      <w:r w:rsidRPr="001115C5">
        <w:rPr>
          <w:rFonts w:ascii="Helvetica Neue" w:hAnsi="Helvetica Neue" w:cs="Arial"/>
        </w:rPr>
        <w:t xml:space="preserve">. A conditional use permit is required pursuant to this </w:t>
      </w:r>
      <w:r w:rsidR="008B35D9" w:rsidRPr="001115C5">
        <w:rPr>
          <w:rFonts w:ascii="Helvetica Neue" w:hAnsi="Helvetica Neue" w:cs="Arial"/>
          <w:color w:val="FF0000"/>
        </w:rPr>
        <w:t>[Article/Chapter]</w:t>
      </w:r>
      <w:r w:rsidRPr="001115C5">
        <w:rPr>
          <w:rFonts w:ascii="Helvetica Neue" w:hAnsi="Helvetica Neue" w:cs="Arial"/>
        </w:rPr>
        <w:t xml:space="preserve"> for each location at which Cannabis Retailing of </w:t>
      </w:r>
      <w:r w:rsidRPr="001115C5">
        <w:rPr>
          <w:rFonts w:ascii="Helvetica Neue" w:hAnsi="Helvetica Neue" w:cs="Arial"/>
          <w:color w:val="FF0000"/>
        </w:rPr>
        <w:t>[medical/adult use/both medical and adult use]</w:t>
      </w:r>
      <w:r w:rsidRPr="001115C5">
        <w:rPr>
          <w:rFonts w:ascii="Helvetica Neue" w:hAnsi="Helvetica Neue" w:cs="Arial"/>
        </w:rPr>
        <w:t xml:space="preserve"> Cannabis or Cannabis Products is to occur in </w:t>
      </w:r>
      <w:r w:rsidR="008B35D9" w:rsidRPr="001115C5">
        <w:rPr>
          <w:rFonts w:ascii="Helvetica Neue" w:hAnsi="Helvetica Neue" w:cs="Arial"/>
          <w:color w:val="FF0000"/>
        </w:rPr>
        <w:t>[City/County]</w:t>
      </w:r>
      <w:r w:rsidRPr="001115C5">
        <w:rPr>
          <w:rFonts w:ascii="Helvetica Neue" w:hAnsi="Helvetica Neue" w:cs="Arial"/>
        </w:rPr>
        <w:t xml:space="preserve">. Cannabis Retailing other than in compliance with a valid conditional use permit under this </w:t>
      </w:r>
      <w:r w:rsidR="008B35D9" w:rsidRPr="001115C5">
        <w:rPr>
          <w:rFonts w:ascii="Helvetica Neue" w:hAnsi="Helvetica Neue" w:cs="Arial"/>
          <w:color w:val="FF0000"/>
        </w:rPr>
        <w:t>[Article/Chapter]</w:t>
      </w:r>
      <w:r w:rsidRPr="001115C5">
        <w:rPr>
          <w:rFonts w:ascii="Helvetica Neue" w:hAnsi="Helvetica Neue" w:cs="Arial"/>
        </w:rPr>
        <w:t xml:space="preserve"> is hereby declared to be a nuisance subject to abatement in any manner permitted by law.</w:t>
      </w:r>
    </w:p>
    <w:p w14:paraId="298CAADE" w14:textId="0A7E6C42" w:rsidR="00075D47" w:rsidRPr="001115C5" w:rsidRDefault="00075D47" w:rsidP="00064063">
      <w:pPr>
        <w:pStyle w:val="ListParagraph"/>
        <w:numPr>
          <w:ilvl w:val="0"/>
          <w:numId w:val="5"/>
        </w:numPr>
        <w:spacing w:before="240" w:after="240"/>
        <w:contextualSpacing w:val="0"/>
        <w:rPr>
          <w:rFonts w:ascii="Helvetica Neue" w:hAnsi="Helvetica Neue" w:cs="Arial"/>
        </w:rPr>
      </w:pPr>
      <w:r w:rsidRPr="001115C5">
        <w:rPr>
          <w:rFonts w:ascii="Helvetica Neue" w:hAnsi="Helvetica Neue" w:cs="Arial"/>
          <w:b/>
          <w:bCs/>
        </w:rPr>
        <w:t>OPTION: Cannabis Retailer Operating Permit</w:t>
      </w:r>
      <w:r w:rsidRPr="001115C5">
        <w:rPr>
          <w:rFonts w:ascii="Helvetica Neue" w:hAnsi="Helvetica Neue" w:cs="Arial"/>
        </w:rPr>
        <w:t xml:space="preserve">. In addition to a Conditional Use Permit, a Cannabis Retailer operating permit shall be required for all Cannabis Retailers operating within </w:t>
      </w:r>
      <w:r w:rsidR="008B35D9" w:rsidRPr="001115C5">
        <w:rPr>
          <w:rFonts w:ascii="Helvetica Neue" w:hAnsi="Helvetica Neue" w:cs="Arial"/>
          <w:color w:val="FF0000"/>
        </w:rPr>
        <w:t>[City/County]</w:t>
      </w:r>
      <w:r w:rsidRPr="001115C5">
        <w:rPr>
          <w:rFonts w:ascii="Helvetica Neue" w:hAnsi="Helvetica Neue" w:cs="Arial"/>
        </w:rPr>
        <w:t xml:space="preserve">. The form and content of the Cannabis Retailer operating permit shall be specified by the </w:t>
      </w:r>
      <w:r w:rsidR="008B35D9" w:rsidRPr="001115C5">
        <w:rPr>
          <w:rFonts w:ascii="Helvetica Neue" w:hAnsi="Helvetica Neue" w:cs="Arial"/>
          <w:color w:val="FF0000"/>
        </w:rPr>
        <w:t>[City/County]</w:t>
      </w:r>
      <w:r w:rsidRPr="001115C5">
        <w:rPr>
          <w:rFonts w:ascii="Helvetica Neue" w:hAnsi="Helvetica Neue" w:cs="Arial"/>
        </w:rPr>
        <w:t xml:space="preserve"> and at a minimum must contain the name and address of each Cannabis Retailer owner and explanation of the legal form of Cannabis Retailer ownership.</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075D47" w:rsidRPr="001115C5" w14:paraId="196F333D" w14:textId="77777777" w:rsidTr="00EB22B8">
        <w:tc>
          <w:tcPr>
            <w:tcW w:w="10188" w:type="dxa"/>
            <w:shd w:val="clear" w:color="auto" w:fill="D9D9D9" w:themeFill="background1" w:themeFillShade="D9"/>
          </w:tcPr>
          <w:p w14:paraId="159CCFC0" w14:textId="6FCB5F58" w:rsidR="00075D47" w:rsidRPr="001115C5" w:rsidRDefault="00075D47" w:rsidP="002518D0">
            <w:pPr>
              <w:spacing w:before="240" w:after="120" w:line="360" w:lineRule="auto"/>
              <w:rPr>
                <w:rFonts w:ascii="Helvetica Neue" w:eastAsia="Helvetica Neue" w:hAnsi="Helvetica Neue" w:cs="Arial"/>
              </w:rPr>
            </w:pPr>
            <w:r w:rsidRPr="001115C5">
              <w:rPr>
                <w:rFonts w:ascii="Helvetica Neue" w:eastAsia="Helvetica Neue" w:hAnsi="Helvetica Neue" w:cs="Arial"/>
                <w:b/>
                <w:bCs/>
                <w:shd w:val="clear" w:color="auto" w:fill="D9D9D9" w:themeFill="background1" w:themeFillShade="D9"/>
              </w:rPr>
              <w:lastRenderedPageBreak/>
              <w:t>COMMENT:</w:t>
            </w:r>
            <w:r w:rsidRPr="001115C5">
              <w:rPr>
                <w:rFonts w:ascii="Helvetica Neue" w:eastAsia="Helvetica Neue" w:hAnsi="Helvetica Neue" w:cs="Arial"/>
              </w:rPr>
              <w:t xml:space="preserve"> This is the primary operative section of the ordinance. It requires a conditional use permit (CUP) and an operating permit for each retail location. The CUP application involves a review process, which should require public hearings. These hearings provide the applicant, public officials, and neighbors the opportunity to present evidence whether the CUP application should be granted and, if so, on what conditions. In this particular case we recommend that CUP not run with the land (see section on transferability). This must be expressly stated in your ordinance, because a CUP is granted as to a property and typically runs with title to or control of the land. Alternatively, a city or county could choose to issue a business license or Operating permit for Cannabis Retailing. As with the CUP, we strongly recommend that a public hearing be a required part of the permitting process, regardless of the type of permit. As such, a community may choose a regulatory approach that combines elements of a business license and/or a CUP in order to determine the best way to regulate a new type of business activity while providing maximum flexibility to the local government and opportunity for public input. At least while this industry is new, it makes sense to regulate both the location of commercial cannabis activity and the people who conduct it. Thus, this ordinance proposes both a CUP for each location and a license for each Owner. However, if the public monopoly approach is adopted the retailer operating permit would be replaced by a franchise agreement (see Permitting Priority, Sec II(C).</w:t>
            </w:r>
          </w:p>
          <w:p w14:paraId="317CBD19" w14:textId="3D6C5F2B" w:rsidR="00075D47" w:rsidRPr="001115C5" w:rsidRDefault="00075D47" w:rsidP="00A062D7">
            <w:pPr>
              <w:spacing w:before="120" w:after="120" w:line="360" w:lineRule="auto"/>
              <w:rPr>
                <w:rFonts w:ascii="Helvetica Neue" w:eastAsia="Helvetica Neue" w:hAnsi="Helvetica Neue" w:cs="Arial"/>
              </w:rPr>
            </w:pPr>
            <w:r w:rsidRPr="001115C5">
              <w:rPr>
                <w:rFonts w:ascii="Helvetica Neue" w:eastAsia="Helvetica Neue" w:hAnsi="Helvetica Neue" w:cs="Arial"/>
              </w:rPr>
              <w:t xml:space="preserve">Note that whatever approaches the city or county takes to regulate adult use cannabis businesses could also be applied to medical cannabis retailers to create a uniform approach. However, to bring a pre-existing medical Cannabis Retailer under the purview of the CUP process, a local government may need to use a “deemed approved” process. For more information on “deemed approved” ordinances as to alcohol retailers, see Best Practices in Municipal Regulation to Reduce Alcohol-Related Harms from Licensed Alcohol Outlets, prepared for the Ventura County Behavioral Health Department, available at: </w:t>
            </w:r>
            <w:hyperlink r:id="rId20" w:history="1">
              <w:r w:rsidR="00A062D7" w:rsidRPr="001115C5">
                <w:rPr>
                  <w:rStyle w:val="Hyperlink"/>
                  <w:rFonts w:ascii="Helvetica Neue" w:eastAsia="Helvetica Neue" w:hAnsi="Helvetica Neue" w:cs="Arial"/>
                </w:rPr>
                <w:t>http://www.venturacountylimits.org/resource_documents/VC_BestPractAlcSales_Jan2014fnl.pdf</w:t>
              </w:r>
            </w:hyperlink>
          </w:p>
        </w:tc>
      </w:tr>
    </w:tbl>
    <w:p w14:paraId="2E1E7E8C" w14:textId="4A0AEA3A" w:rsidR="00075D47" w:rsidRPr="001115C5" w:rsidRDefault="00075D47" w:rsidP="002518D0">
      <w:pPr>
        <w:spacing w:before="400" w:after="240"/>
        <w:rPr>
          <w:rFonts w:ascii="Helvetica Neue" w:hAnsi="Helvetica Neue" w:cs="Arial"/>
        </w:rPr>
      </w:pPr>
      <w:r w:rsidRPr="001115C5">
        <w:rPr>
          <w:rFonts w:ascii="Helvetica Neue" w:hAnsi="Helvetica Neue" w:cs="Arial"/>
        </w:rPr>
        <w:lastRenderedPageBreak/>
        <w:t>The term “permits” as used within the remaining provisions refers to both the CUP and the Operating Permit, though a local jurisdiction could cho</w:t>
      </w:r>
      <w:r w:rsidR="009B6E6B">
        <w:rPr>
          <w:rFonts w:ascii="Helvetica Neue" w:hAnsi="Helvetica Neue" w:cs="Arial"/>
        </w:rPr>
        <w:t>ose</w:t>
      </w:r>
      <w:r w:rsidRPr="001115C5">
        <w:rPr>
          <w:rFonts w:ascii="Helvetica Neue" w:hAnsi="Helvetica Neue" w:cs="Arial"/>
        </w:rPr>
        <w:t xml:space="preserve"> to forgo the Cannabis Retailer Operating Permit.</w:t>
      </w:r>
    </w:p>
    <w:p w14:paraId="400596F3" w14:textId="28BC413D" w:rsidR="00075D47" w:rsidRPr="001115C5" w:rsidRDefault="00075D47" w:rsidP="002518D0">
      <w:pPr>
        <w:pStyle w:val="Heading3"/>
        <w:spacing w:before="480" w:after="240"/>
        <w:rPr>
          <w:rFonts w:ascii="Helvetica Neue" w:hAnsi="Helvetica Neue"/>
        </w:rPr>
      </w:pPr>
      <w:bookmarkStart w:id="9" w:name="_Toc65578295"/>
      <w:r w:rsidRPr="001115C5">
        <w:rPr>
          <w:rFonts w:ascii="Helvetica Neue" w:hAnsi="Helvetica Neue"/>
        </w:rPr>
        <w:t>Section C. SELECTION OF PERMITTEES</w:t>
      </w:r>
      <w:bookmarkEnd w:id="9"/>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075D47" w:rsidRPr="001115C5" w14:paraId="7E2E1645" w14:textId="77777777" w:rsidTr="00EB22B8">
        <w:tc>
          <w:tcPr>
            <w:tcW w:w="10188" w:type="dxa"/>
            <w:shd w:val="clear" w:color="auto" w:fill="D9D9D9" w:themeFill="background1" w:themeFillShade="D9"/>
          </w:tcPr>
          <w:p w14:paraId="49452F22" w14:textId="6B09857A" w:rsidR="00075D47" w:rsidRPr="001115C5" w:rsidRDefault="00075D47" w:rsidP="00EB22B8">
            <w:pPr>
              <w:spacing w:before="240" w:after="120" w:line="360" w:lineRule="auto"/>
              <w:rPr>
                <w:rFonts w:ascii="Helvetica Neue" w:eastAsia="Helvetica Neue" w:hAnsi="Helvetica Neue" w:cs="Arial"/>
              </w:rPr>
            </w:pPr>
            <w:r w:rsidRPr="001115C5">
              <w:rPr>
                <w:rFonts w:ascii="Helvetica Neue" w:eastAsia="Helvetica Neue" w:hAnsi="Helvetica Neue" w:cs="Arial"/>
              </w:rPr>
              <w:t>The purpose of this subsection is to allow legal Cannabis sales while moderating the drive to increase profits by constantly expanding consumption. Our most highly recommended approach is modeled after the alcohol monopoly experience but adapted to use a non-profit rather than a public entity because of constraints due to continuing federal illegality.  OPTION ONE would be to allow only not-for-profit businesses. OPTION TWO: If for profit businesses are allowed, our preferred option is to give an exclusive period to equity applicants. OPTION THREE provides priority for equity applicants while allowing non-equity applicants to apply at the same time. Whatever approach is used, it should be required that job opportunities prioritize hiring from census tracts, zip codes, or police beats hardest hit by the war on drugs. OPTION FOUR would allow for a Delivery only model.</w:t>
            </w:r>
          </w:p>
        </w:tc>
      </w:tr>
    </w:tbl>
    <w:p w14:paraId="14C34398" w14:textId="2B60EBAB" w:rsidR="002518D0" w:rsidRPr="001115C5" w:rsidRDefault="00075D47" w:rsidP="00064063">
      <w:pPr>
        <w:pStyle w:val="ListParagraph"/>
        <w:numPr>
          <w:ilvl w:val="0"/>
          <w:numId w:val="6"/>
        </w:numPr>
        <w:spacing w:before="480" w:after="240"/>
        <w:contextualSpacing w:val="0"/>
        <w:rPr>
          <w:rFonts w:ascii="Helvetica Neue" w:hAnsi="Helvetica Neue" w:cs="Arial"/>
        </w:rPr>
      </w:pPr>
      <w:r w:rsidRPr="001115C5">
        <w:rPr>
          <w:rFonts w:ascii="Helvetica Neue" w:hAnsi="Helvetica Neue" w:cs="Arial"/>
          <w:b/>
          <w:bCs/>
        </w:rPr>
        <w:t>Public Monopoly Via Nonprofit (RECOMMENDED APPROACH)</w:t>
      </w:r>
      <w:r w:rsidRPr="001115C5">
        <w:rPr>
          <w:rFonts w:ascii="Helvetica Neue" w:hAnsi="Helvetica Neue" w:cs="Arial"/>
        </w:rPr>
        <w:t xml:space="preserve">. </w:t>
      </w:r>
      <w:r w:rsidR="008B35D9" w:rsidRPr="001115C5">
        <w:rPr>
          <w:rFonts w:ascii="Helvetica Neue" w:hAnsi="Helvetica Neue" w:cs="Arial"/>
          <w:color w:val="FF0000"/>
        </w:rPr>
        <w:t>[City/County]</w:t>
      </w:r>
      <w:r w:rsidRPr="001115C5">
        <w:rPr>
          <w:rFonts w:ascii="Helvetica Neue" w:hAnsi="Helvetica Neue" w:cs="Arial"/>
        </w:rPr>
        <w:t xml:space="preserve"> shall grant up to one franchise for Cannabis Retailing per up to nineteen thousand (19,000) residents of the </w:t>
      </w:r>
      <w:r w:rsidR="008B35D9" w:rsidRPr="001115C5">
        <w:rPr>
          <w:rFonts w:ascii="Helvetica Neue" w:hAnsi="Helvetica Neue" w:cs="Arial"/>
          <w:color w:val="FF0000"/>
        </w:rPr>
        <w:t>[City/County]</w:t>
      </w:r>
      <w:r w:rsidRPr="001115C5">
        <w:rPr>
          <w:rFonts w:ascii="Helvetica Neue" w:hAnsi="Helvetica Neue" w:cs="Arial"/>
        </w:rPr>
        <w:t xml:space="preserve"> to a single nonprofit cooperative or other not for profit entity. Franchisee shall be subject to rules for retailing, marketing, pricing, revenue distribution, and advertising established pursuant to the franchise agreement or otherwise by </w:t>
      </w:r>
      <w:r w:rsidR="008B35D9" w:rsidRPr="001115C5">
        <w:rPr>
          <w:rFonts w:ascii="Helvetica Neue" w:hAnsi="Helvetica Neue" w:cs="Arial"/>
          <w:color w:val="FF0000"/>
        </w:rPr>
        <w:t>[City/County]</w:t>
      </w:r>
      <w:r w:rsidRPr="001115C5">
        <w:rPr>
          <w:rFonts w:ascii="Helvetica Neue" w:hAnsi="Helvetica Neue" w:cs="Arial"/>
        </w:rPr>
        <w:t xml:space="preserve">. </w:t>
      </w:r>
      <w:r w:rsidR="008B35D9" w:rsidRPr="001115C5">
        <w:rPr>
          <w:rFonts w:ascii="Helvetica Neue" w:hAnsi="Helvetica Neue" w:cs="Arial"/>
          <w:color w:val="FF0000"/>
        </w:rPr>
        <w:t>[City/County]</w:t>
      </w:r>
      <w:r w:rsidRPr="001115C5">
        <w:rPr>
          <w:rFonts w:ascii="Helvetica Neue" w:hAnsi="Helvetica Neue" w:cs="Arial"/>
        </w:rPr>
        <w:t xml:space="preserve"> shall select franchisee following a request for proposals. Franchisee shall pay a </w:t>
      </w:r>
      <w:r w:rsidRPr="001115C5">
        <w:rPr>
          <w:rFonts w:ascii="Helvetica Neue" w:hAnsi="Helvetica Neue" w:cs="Arial"/>
          <w:color w:val="FF0000"/>
        </w:rPr>
        <w:t>[monthly, quarterly, yearly]</w:t>
      </w:r>
      <w:r w:rsidRPr="001115C5">
        <w:rPr>
          <w:rFonts w:ascii="Helvetica Neue" w:hAnsi="Helvetica Neue" w:cs="Arial"/>
        </w:rPr>
        <w:t xml:space="preserve"> franchise fee provided by the franchise agreement that is reasonably related to the value of the franchise rights and the </w:t>
      </w:r>
      <w:r w:rsidR="008B35D9" w:rsidRPr="001115C5">
        <w:rPr>
          <w:rFonts w:ascii="Helvetica Neue" w:hAnsi="Helvetica Neue" w:cs="Arial"/>
          <w:color w:val="FF0000"/>
        </w:rPr>
        <w:t>[City/County]</w:t>
      </w:r>
      <w:r w:rsidRPr="001115C5">
        <w:rPr>
          <w:rFonts w:ascii="Helvetica Neue" w:hAnsi="Helvetica Neue" w:cs="Arial"/>
        </w:rPr>
        <w:t xml:space="preserve"> shall use the proceeds of the franchise fee to fund </w:t>
      </w:r>
      <w:r w:rsidR="008B35D9" w:rsidRPr="001115C5">
        <w:rPr>
          <w:rFonts w:ascii="Helvetica Neue" w:hAnsi="Helvetica Neue" w:cs="Arial"/>
          <w:color w:val="FF0000"/>
        </w:rPr>
        <w:t>[City/County]</w:t>
      </w:r>
      <w:r w:rsidRPr="001115C5">
        <w:rPr>
          <w:rFonts w:ascii="Helvetica Neue" w:hAnsi="Helvetica Neue" w:cs="Arial"/>
        </w:rPr>
        <w:t xml:space="preserve"> regulation but at least </w:t>
      </w:r>
      <w:r w:rsidRPr="001115C5">
        <w:rPr>
          <w:rFonts w:ascii="Helvetica Neue" w:hAnsi="Helvetica Neue" w:cs="Arial"/>
          <w:color w:val="FF0000"/>
        </w:rPr>
        <w:t>[70%]</w:t>
      </w:r>
      <w:r w:rsidRPr="001115C5">
        <w:rPr>
          <w:rFonts w:ascii="Helvetica Neue" w:hAnsi="Helvetica Neue" w:cs="Arial"/>
        </w:rPr>
        <w:t xml:space="preserve"> of the proceeds must fund public health initiatives including, without limitation, programs to support healthy youth development, prevent substance abuse and addiction, reduce inequities in health, and mitigate the negative social impacts of incarceration from the war on drugs. Franchisee is not subject to any business license fee or tax by virtue of their non-profit status.</w:t>
      </w:r>
    </w:p>
    <w:p w14:paraId="2839D9AB" w14:textId="1BA895DC" w:rsidR="002518D0" w:rsidRPr="001115C5" w:rsidRDefault="00075D47" w:rsidP="00064063">
      <w:pPr>
        <w:pStyle w:val="ListParagraph"/>
        <w:numPr>
          <w:ilvl w:val="0"/>
          <w:numId w:val="6"/>
        </w:numPr>
        <w:spacing w:after="240"/>
        <w:contextualSpacing w:val="0"/>
        <w:rPr>
          <w:rFonts w:ascii="Helvetica Neue" w:hAnsi="Helvetica Neue" w:cs="Arial"/>
        </w:rPr>
      </w:pPr>
      <w:r w:rsidRPr="001115C5">
        <w:rPr>
          <w:rFonts w:ascii="Helvetica Neue" w:hAnsi="Helvetica Neue" w:cs="Arial"/>
          <w:b/>
          <w:bCs/>
        </w:rPr>
        <w:t>Alternative Option One: Non-Profit Only Model</w:t>
      </w:r>
      <w:r w:rsidRPr="001115C5">
        <w:rPr>
          <w:rFonts w:ascii="Helvetica Neue" w:hAnsi="Helvetica Neue" w:cs="Arial"/>
        </w:rPr>
        <w:t xml:space="preserve">. </w:t>
      </w:r>
      <w:r w:rsidR="008B35D9" w:rsidRPr="001115C5">
        <w:rPr>
          <w:rFonts w:ascii="Helvetica Neue" w:hAnsi="Helvetica Neue" w:cs="Arial"/>
          <w:color w:val="FF0000"/>
        </w:rPr>
        <w:t>[City/County]</w:t>
      </w:r>
      <w:r w:rsidRPr="001115C5">
        <w:rPr>
          <w:rFonts w:ascii="Helvetica Neue" w:hAnsi="Helvetica Neue" w:cs="Arial"/>
        </w:rPr>
        <w:t xml:space="preserve"> will only issue retail Cannabis licenses to non-profit organizations.</w:t>
      </w:r>
    </w:p>
    <w:p w14:paraId="665AB2B8" w14:textId="3451B82A" w:rsidR="002518D0" w:rsidRPr="001115C5" w:rsidRDefault="00075D47" w:rsidP="00064063">
      <w:pPr>
        <w:pStyle w:val="ListParagraph"/>
        <w:numPr>
          <w:ilvl w:val="0"/>
          <w:numId w:val="6"/>
        </w:numPr>
        <w:spacing w:after="240"/>
        <w:contextualSpacing w:val="0"/>
        <w:rPr>
          <w:rFonts w:ascii="Helvetica Neue" w:hAnsi="Helvetica Neue" w:cs="Arial"/>
        </w:rPr>
      </w:pPr>
      <w:r w:rsidRPr="001115C5">
        <w:rPr>
          <w:rFonts w:ascii="Helvetica Neue" w:hAnsi="Helvetica Neue" w:cs="Arial"/>
          <w:b/>
          <w:bCs/>
        </w:rPr>
        <w:lastRenderedPageBreak/>
        <w:t>Alternative Option Two: Equity Applicants First</w:t>
      </w:r>
      <w:r w:rsidRPr="001115C5">
        <w:rPr>
          <w:rFonts w:ascii="Helvetica Neue" w:hAnsi="Helvetica Neue" w:cs="Arial"/>
        </w:rPr>
        <w:t xml:space="preserve">. Only Equity Applicants </w:t>
      </w:r>
      <w:r w:rsidR="002518D0" w:rsidRPr="001115C5">
        <w:rPr>
          <w:rFonts w:ascii="Helvetica Neue" w:hAnsi="Helvetica Neue" w:cs="Arial"/>
        </w:rPr>
        <w:t>will be</w:t>
      </w:r>
      <w:r w:rsidRPr="001115C5">
        <w:rPr>
          <w:rFonts w:ascii="Helvetica Neue" w:hAnsi="Helvetica Neue" w:cs="Arial"/>
        </w:rPr>
        <w:t xml:space="preserve"> eligible for permits for one year from the date on which applications are open for acceptance. Non-equity applicants will be allowed to apply for and receive the remaining permits after the one-year period.</w:t>
      </w:r>
    </w:p>
    <w:p w14:paraId="1FEB7CC7" w14:textId="77777777" w:rsidR="002518D0" w:rsidRPr="001115C5" w:rsidRDefault="00075D47" w:rsidP="00064063">
      <w:pPr>
        <w:pStyle w:val="ListParagraph"/>
        <w:numPr>
          <w:ilvl w:val="0"/>
          <w:numId w:val="6"/>
        </w:numPr>
        <w:spacing w:after="240"/>
        <w:contextualSpacing w:val="0"/>
        <w:rPr>
          <w:rFonts w:ascii="Helvetica Neue" w:hAnsi="Helvetica Neue" w:cs="Arial"/>
        </w:rPr>
      </w:pPr>
      <w:r w:rsidRPr="001115C5">
        <w:rPr>
          <w:rFonts w:ascii="Helvetica Neue" w:hAnsi="Helvetica Neue" w:cs="Arial"/>
          <w:b/>
          <w:bCs/>
        </w:rPr>
        <w:t>Alternative Option Three. Equity Applicant Priority</w:t>
      </w:r>
      <w:r w:rsidRPr="001115C5">
        <w:rPr>
          <w:rFonts w:ascii="Helvetica Neue" w:hAnsi="Helvetica Neue" w:cs="Arial"/>
        </w:rPr>
        <w:t>. Equity Applicants will be given priority in permitting. The greater the percentage of Ownership from Equity Applicants, the higher the priority of the application. At least one half of all Cannabis Retailer operating permits and conditional use permits shall be issued to Equity Applicants unless no eligible Equity Applicants apply within the first two years.</w:t>
      </w:r>
    </w:p>
    <w:p w14:paraId="591F93CE" w14:textId="3CC7AD03" w:rsidR="00075D47" w:rsidRPr="001115C5" w:rsidRDefault="00075D47" w:rsidP="00064063">
      <w:pPr>
        <w:pStyle w:val="ListParagraph"/>
        <w:numPr>
          <w:ilvl w:val="0"/>
          <w:numId w:val="6"/>
        </w:numPr>
        <w:spacing w:after="240"/>
        <w:contextualSpacing w:val="0"/>
        <w:rPr>
          <w:rFonts w:ascii="Helvetica Neue" w:hAnsi="Helvetica Neue" w:cs="Arial"/>
        </w:rPr>
      </w:pPr>
      <w:r w:rsidRPr="001115C5">
        <w:rPr>
          <w:rFonts w:ascii="Helvetica Neue" w:hAnsi="Helvetica Neue" w:cs="Arial"/>
          <w:b/>
          <w:bCs/>
        </w:rPr>
        <w:t>Alternative Option Four: Delivery Only Model</w:t>
      </w:r>
      <w:r w:rsidRPr="001115C5">
        <w:rPr>
          <w:rFonts w:ascii="Helvetica Neue" w:hAnsi="Helvetica Neue" w:cs="Arial"/>
        </w:rPr>
        <w:t xml:space="preserve">. [can be combined with any of the above] Cannabis Retailer operating permits shall only be issued to non-storefront retailers (state license </w:t>
      </w:r>
      <w:r w:rsidR="009B6E6B">
        <w:rPr>
          <w:rFonts w:ascii="Helvetica Neue" w:hAnsi="Helvetica Neue" w:cs="Arial"/>
        </w:rPr>
        <w:t xml:space="preserve">type </w:t>
      </w:r>
      <w:r w:rsidRPr="001115C5">
        <w:rPr>
          <w:rFonts w:ascii="Helvetica Neue" w:hAnsi="Helvetica Neue" w:cs="Arial"/>
        </w:rPr>
        <w:t>9).</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075D47" w:rsidRPr="001115C5" w14:paraId="1395125E" w14:textId="77777777" w:rsidTr="00EB22B8">
        <w:tc>
          <w:tcPr>
            <w:tcW w:w="10188" w:type="dxa"/>
            <w:shd w:val="clear" w:color="auto" w:fill="D9D9D9" w:themeFill="background1" w:themeFillShade="D9"/>
          </w:tcPr>
          <w:p w14:paraId="7AB52D3A" w14:textId="7A161AB1" w:rsidR="00075D47" w:rsidRPr="001115C5" w:rsidRDefault="00075D47" w:rsidP="00EB22B8">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Allowing Delivery only creates a higher risk of Delivery to youth; however, it may also reduce the potential negative impacts of having a storefront retailer in the community. One hundred and sixteen (116) California jurisdictions opted for a Delivery only model for Cannabis Retailing as of January 2019. While this may increase the risk of youth access, in exchange it reduces the visible physical presence of Cannabis dispensaries in the community. It is an option for a jurisdiction that wishes to legalize without allowing visible stores in the community. This can also be accomplished by allowing delivery from outside, but then you would have less leverage to address any problems with the business.</w:t>
            </w:r>
          </w:p>
        </w:tc>
      </w:tr>
    </w:tbl>
    <w:p w14:paraId="35FE7244" w14:textId="19BB3F02" w:rsidR="003E7DDE" w:rsidRPr="001115C5" w:rsidRDefault="00075D47" w:rsidP="00064063">
      <w:pPr>
        <w:pStyle w:val="ListParagraph"/>
        <w:numPr>
          <w:ilvl w:val="0"/>
          <w:numId w:val="6"/>
        </w:numPr>
        <w:spacing w:before="480" w:after="240"/>
        <w:contextualSpacing w:val="0"/>
        <w:rPr>
          <w:rFonts w:ascii="Helvetica Neue" w:hAnsi="Helvetica Neue" w:cs="Arial"/>
        </w:rPr>
      </w:pPr>
      <w:r w:rsidRPr="001115C5">
        <w:rPr>
          <w:rFonts w:ascii="Helvetica Neue" w:hAnsi="Helvetica Neue" w:cs="Arial"/>
          <w:b/>
          <w:bCs/>
        </w:rPr>
        <w:t>Partial Permitting for Equity Applicants</w:t>
      </w:r>
      <w:r w:rsidRPr="001115C5">
        <w:rPr>
          <w:rFonts w:ascii="Helvetica Neue" w:hAnsi="Helvetica Neue" w:cs="Arial"/>
        </w:rPr>
        <w:t xml:space="preserve">. To reduce the burden on and risk for Equity Applicants, the </w:t>
      </w:r>
      <w:r w:rsidR="008B35D9" w:rsidRPr="001115C5">
        <w:rPr>
          <w:rFonts w:ascii="Helvetica Neue" w:hAnsi="Helvetica Neue" w:cs="Arial"/>
          <w:color w:val="FF0000"/>
        </w:rPr>
        <w:t>[City/County]</w:t>
      </w:r>
      <w:r w:rsidRPr="001115C5">
        <w:rPr>
          <w:rFonts w:ascii="Helvetica Neue" w:hAnsi="Helvetica Neue" w:cs="Arial"/>
        </w:rPr>
        <w:t xml:space="preserve"> should allow Equity Applicants to apply for a Cannabis Retailers operating permit not relating to the premises before securing a location. Equity Applicants may secure compliant premises within three months of issuance of a provisional approval, and no sales may occur until the </w:t>
      </w:r>
      <w:r w:rsidRPr="00864E02">
        <w:rPr>
          <w:rFonts w:ascii="Helvetica Neue" w:hAnsi="Helvetica Neue" w:cs="Arial"/>
          <w:color w:val="FF0000"/>
        </w:rPr>
        <w:t>Department</w:t>
      </w:r>
      <w:r w:rsidRPr="001115C5">
        <w:rPr>
          <w:rFonts w:ascii="Helvetica Neue" w:hAnsi="Helvetica Neue" w:cs="Arial"/>
        </w:rPr>
        <w:t xml:space="preserve"> issues the Conditional Use Permit after review and approval of the location. If a provisionally permitted Equity Applicant does not timely secure a location compliant with this </w:t>
      </w:r>
      <w:r w:rsidR="008B35D9" w:rsidRPr="001115C5">
        <w:rPr>
          <w:rFonts w:ascii="Helvetica Neue" w:hAnsi="Helvetica Neue" w:cs="Arial"/>
          <w:color w:val="FF0000"/>
        </w:rPr>
        <w:t>[Article/Chapter]</w:t>
      </w:r>
      <w:r w:rsidRPr="001115C5">
        <w:rPr>
          <w:rFonts w:ascii="Helvetica Neue" w:hAnsi="Helvetica Neue" w:cs="Arial"/>
        </w:rPr>
        <w:t>, the provisional approval shall expire.</w:t>
      </w:r>
    </w:p>
    <w:p w14:paraId="0F225B2B" w14:textId="625D7280" w:rsidR="00075D47" w:rsidRPr="001115C5" w:rsidRDefault="00075D47" w:rsidP="00064063">
      <w:pPr>
        <w:pStyle w:val="ListParagraph"/>
        <w:numPr>
          <w:ilvl w:val="0"/>
          <w:numId w:val="6"/>
        </w:numPr>
        <w:spacing w:after="240"/>
        <w:contextualSpacing w:val="0"/>
        <w:rPr>
          <w:rFonts w:ascii="Helvetica Neue" w:hAnsi="Helvetica Neue" w:cs="Arial"/>
        </w:rPr>
      </w:pPr>
      <w:r w:rsidRPr="001115C5">
        <w:rPr>
          <w:rFonts w:ascii="Helvetica Neue" w:hAnsi="Helvetica Neue" w:cs="Arial"/>
        </w:rPr>
        <w:t>A history of a drug-related conviction other than a violent felony or convictions involving fraud or deceit shall not disqualify an applicant.</w:t>
      </w:r>
    </w:p>
    <w:p w14:paraId="6DC807F3" w14:textId="6AE8ECB2" w:rsidR="00075D47" w:rsidRPr="001115C5" w:rsidRDefault="00075D47" w:rsidP="005A639C">
      <w:pPr>
        <w:pStyle w:val="Heading3"/>
        <w:spacing w:before="480" w:after="240"/>
        <w:rPr>
          <w:rFonts w:ascii="Helvetica Neue" w:hAnsi="Helvetica Neue"/>
        </w:rPr>
      </w:pPr>
      <w:bookmarkStart w:id="10" w:name="_Toc65578296"/>
      <w:r w:rsidRPr="001115C5">
        <w:rPr>
          <w:rFonts w:ascii="Helvetica Neue" w:hAnsi="Helvetica Neue"/>
        </w:rPr>
        <w:lastRenderedPageBreak/>
        <w:t>Section D. APPLICATION PROCEDURE</w:t>
      </w:r>
      <w:bookmarkEnd w:id="10"/>
    </w:p>
    <w:p w14:paraId="7D642541" w14:textId="4E8BDC9D" w:rsidR="005A639C" w:rsidRPr="001115C5" w:rsidRDefault="008B35D9" w:rsidP="00064063">
      <w:pPr>
        <w:pStyle w:val="ListParagraph"/>
        <w:numPr>
          <w:ilvl w:val="0"/>
          <w:numId w:val="7"/>
        </w:numPr>
        <w:spacing w:after="240"/>
        <w:contextualSpacing w:val="0"/>
        <w:rPr>
          <w:rFonts w:ascii="Helvetica Neue" w:hAnsi="Helvetica Neue" w:cs="Arial"/>
        </w:rPr>
      </w:pPr>
      <w:r w:rsidRPr="001115C5">
        <w:rPr>
          <w:rFonts w:ascii="Helvetica Neue" w:hAnsi="Helvetica Neue" w:cs="Arial"/>
          <w:color w:val="FF0000"/>
        </w:rPr>
        <w:t>[City/County]</w:t>
      </w:r>
      <w:r w:rsidR="00075D47" w:rsidRPr="001115C5">
        <w:rPr>
          <w:rFonts w:ascii="Helvetica Neue" w:hAnsi="Helvetica Neue" w:cs="Arial"/>
        </w:rPr>
        <w:t xml:space="preserve"> shall issue an announcement of a competitive opportunity for nonprofits to obtain a Cannabis franchise.</w:t>
      </w:r>
    </w:p>
    <w:p w14:paraId="61865D46" w14:textId="71CC5D6B" w:rsidR="00075D47" w:rsidRPr="001115C5" w:rsidRDefault="00075D47" w:rsidP="00064063">
      <w:pPr>
        <w:pStyle w:val="ListParagraph"/>
        <w:numPr>
          <w:ilvl w:val="0"/>
          <w:numId w:val="7"/>
        </w:numPr>
        <w:spacing w:after="240"/>
        <w:contextualSpacing w:val="0"/>
        <w:rPr>
          <w:rFonts w:ascii="Helvetica Neue" w:hAnsi="Helvetica Neue" w:cs="Arial"/>
        </w:rPr>
      </w:pPr>
      <w:r w:rsidRPr="001115C5">
        <w:rPr>
          <w:rFonts w:ascii="Helvetica Neue" w:hAnsi="Helvetica Neue" w:cs="Arial"/>
          <w:b/>
          <w:bCs/>
        </w:rPr>
        <w:t>OPTION [for Use with Other Permit Priority Options]</w:t>
      </w:r>
      <w:r w:rsidRPr="001115C5">
        <w:rPr>
          <w:rFonts w:ascii="Helvetica Neue" w:hAnsi="Helvetica Neue" w:cs="Arial"/>
        </w:rPr>
        <w:t xml:space="preserve">: </w:t>
      </w:r>
      <w:r w:rsidR="008B35D9" w:rsidRPr="001115C5">
        <w:rPr>
          <w:rFonts w:ascii="Helvetica Neue" w:hAnsi="Helvetica Neue" w:cs="Arial"/>
          <w:color w:val="FF0000"/>
        </w:rPr>
        <w:t>[City/County]</w:t>
      </w:r>
      <w:r w:rsidRPr="001115C5">
        <w:rPr>
          <w:rFonts w:ascii="Helvetica Neue" w:hAnsi="Helvetica Neue" w:cs="Arial"/>
        </w:rPr>
        <w:t xml:space="preserve"> shall issue an announcement of a competitive opportunity to obtain a Cannabis Retailing permit within 6 months of the approval of this ordinance. The number of available permits shall not exceed 1:15,000 inhabitants and they may be offered at one time or over time.</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075D47" w:rsidRPr="001115C5" w14:paraId="0DF0D4E3" w14:textId="77777777" w:rsidTr="00EB22B8">
        <w:tc>
          <w:tcPr>
            <w:tcW w:w="10188" w:type="dxa"/>
            <w:shd w:val="clear" w:color="auto" w:fill="D9D9D9" w:themeFill="background1" w:themeFillShade="D9"/>
          </w:tcPr>
          <w:p w14:paraId="12E24800" w14:textId="25371541" w:rsidR="00075D47" w:rsidRPr="001115C5" w:rsidRDefault="00075D47" w:rsidP="00EB22B8">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Many jurisdictions have found it useful to use a Request for Proposal (RFP) or other competitive process to identify the best candidates for retailing permits, whether within an equity licensing process of not. More specific criteria and scoring procedures would need to be developed and some jurisdictions have worked with community members or third parties to evaluate applications.</w:t>
            </w:r>
          </w:p>
        </w:tc>
      </w:tr>
    </w:tbl>
    <w:p w14:paraId="4A02D21D" w14:textId="77777777" w:rsidR="005A639C" w:rsidRPr="001115C5" w:rsidRDefault="00075D47" w:rsidP="00064063">
      <w:pPr>
        <w:pStyle w:val="ListParagraph"/>
        <w:numPr>
          <w:ilvl w:val="0"/>
          <w:numId w:val="7"/>
        </w:numPr>
        <w:spacing w:before="480" w:after="240"/>
        <w:contextualSpacing w:val="0"/>
        <w:rPr>
          <w:rFonts w:ascii="Helvetica Neue" w:hAnsi="Helvetica Neue" w:cs="Arial"/>
        </w:rPr>
      </w:pPr>
      <w:r w:rsidRPr="001115C5">
        <w:rPr>
          <w:rFonts w:ascii="Helvetica Neue" w:hAnsi="Helvetica Neue" w:cs="Arial"/>
        </w:rPr>
        <w:t>Application for locally required permits shall be submitted in the name of, and signed by, an Owner or authorized agent of each Owner.</w:t>
      </w:r>
    </w:p>
    <w:p w14:paraId="7088B660" w14:textId="3545C306" w:rsidR="005A639C" w:rsidRPr="001115C5" w:rsidRDefault="00075D47" w:rsidP="00064063">
      <w:pPr>
        <w:pStyle w:val="ListParagraph"/>
        <w:numPr>
          <w:ilvl w:val="0"/>
          <w:numId w:val="7"/>
        </w:numPr>
        <w:spacing w:after="240"/>
        <w:contextualSpacing w:val="0"/>
        <w:rPr>
          <w:rFonts w:ascii="Helvetica Neue" w:hAnsi="Helvetica Neue" w:cs="Arial"/>
        </w:rPr>
      </w:pPr>
      <w:r w:rsidRPr="001115C5">
        <w:rPr>
          <w:rFonts w:ascii="Helvetica Neue" w:hAnsi="Helvetica Neue" w:cs="Arial"/>
        </w:rPr>
        <w:t xml:space="preserve">Each Owner is responsible to be informed regarding all laws applicable to Cannabis Retailing, including those laws affecting the issuance of Cannabis Retailer’s permits. No Owner may rely on the issuance of a permit as a determination made by the </w:t>
      </w:r>
      <w:r w:rsidR="008B35D9" w:rsidRPr="001115C5">
        <w:rPr>
          <w:rFonts w:ascii="Helvetica Neue" w:hAnsi="Helvetica Neue" w:cs="Arial"/>
          <w:color w:val="FF0000"/>
        </w:rPr>
        <w:t>[City/County]</w:t>
      </w:r>
      <w:r w:rsidRPr="001115C5">
        <w:rPr>
          <w:rFonts w:ascii="Helvetica Neue" w:hAnsi="Helvetica Neue" w:cs="Arial"/>
        </w:rPr>
        <w:t xml:space="preserve"> that the Owner has complied with all laws applicable to Cannabis sales. A permit issued in error, in violation of this </w:t>
      </w:r>
      <w:r w:rsidR="008B35D9" w:rsidRPr="001115C5">
        <w:rPr>
          <w:rFonts w:ascii="Helvetica Neue" w:hAnsi="Helvetica Neue" w:cs="Arial"/>
          <w:color w:val="FF0000"/>
        </w:rPr>
        <w:t>[Article/Chapter]</w:t>
      </w:r>
      <w:r w:rsidRPr="001115C5">
        <w:rPr>
          <w:rFonts w:ascii="Helvetica Neue" w:hAnsi="Helvetica Neue" w:cs="Arial"/>
        </w:rPr>
        <w:t xml:space="preserve">, contrary to any other law, or on the basis of false or misleading information shall be revoked pursuant to </w:t>
      </w:r>
      <w:r w:rsidR="00510126">
        <w:rPr>
          <w:rFonts w:ascii="Helvetica Neue" w:hAnsi="Helvetica Neue" w:cs="Arial"/>
        </w:rPr>
        <w:t>SECTION</w:t>
      </w:r>
      <w:r w:rsidR="00510126" w:rsidRPr="001115C5">
        <w:rPr>
          <w:rFonts w:ascii="Helvetica Neue" w:hAnsi="Helvetica Neue" w:cs="Arial"/>
        </w:rPr>
        <w:t xml:space="preserve"> </w:t>
      </w:r>
      <w:r w:rsidRPr="001115C5">
        <w:rPr>
          <w:rFonts w:ascii="Helvetica Neue" w:hAnsi="Helvetica Neue" w:cs="Arial"/>
        </w:rPr>
        <w:t>II</w:t>
      </w:r>
      <w:r w:rsidR="00CE4BA1">
        <w:rPr>
          <w:rFonts w:ascii="Helvetica Neue" w:hAnsi="Helvetica Neue" w:cs="Arial"/>
        </w:rPr>
        <w:t>.</w:t>
      </w:r>
      <w:r w:rsidR="00510126">
        <w:rPr>
          <w:rFonts w:ascii="Helvetica Neue" w:hAnsi="Helvetica Neue" w:cs="Arial"/>
        </w:rPr>
        <w:t xml:space="preserve"> Section </w:t>
      </w:r>
      <w:r w:rsidRPr="001115C5">
        <w:rPr>
          <w:rFonts w:ascii="Helvetica Neue" w:hAnsi="Helvetica Neue" w:cs="Arial"/>
        </w:rPr>
        <w:t xml:space="preserve">N of this </w:t>
      </w:r>
      <w:r w:rsidR="008B35D9" w:rsidRPr="001115C5">
        <w:rPr>
          <w:rFonts w:ascii="Helvetica Neue" w:hAnsi="Helvetica Neue" w:cs="Arial"/>
          <w:color w:val="FF0000"/>
        </w:rPr>
        <w:t>[Article/Chapter]</w:t>
      </w:r>
      <w:r w:rsidRPr="001115C5">
        <w:rPr>
          <w:rFonts w:ascii="Helvetica Neue" w:hAnsi="Helvetica Neue" w:cs="Arial"/>
        </w:rPr>
        <w:t xml:space="preserve">. Nothing in this </w:t>
      </w:r>
      <w:r w:rsidR="008B35D9" w:rsidRPr="001115C5">
        <w:rPr>
          <w:rFonts w:ascii="Helvetica Neue" w:hAnsi="Helvetica Neue" w:cs="Arial"/>
          <w:color w:val="FF0000"/>
        </w:rPr>
        <w:t>[Article/Chapter]</w:t>
      </w:r>
      <w:r w:rsidRPr="001115C5">
        <w:rPr>
          <w:rFonts w:ascii="Helvetica Neue" w:hAnsi="Helvetica Neue" w:cs="Arial"/>
        </w:rPr>
        <w:t xml:space="preserve"> shall be construed to vest in any Person obtaining and maintaining a Cannabis Retailer’s permit any status or right to act as a Cannabis Retailer in contravention of any law.</w:t>
      </w:r>
    </w:p>
    <w:p w14:paraId="6B75D943" w14:textId="77777777" w:rsidR="005A639C" w:rsidRPr="001115C5" w:rsidRDefault="00075D47" w:rsidP="00064063">
      <w:pPr>
        <w:pStyle w:val="ListParagraph"/>
        <w:numPr>
          <w:ilvl w:val="0"/>
          <w:numId w:val="7"/>
        </w:numPr>
        <w:spacing w:after="240"/>
        <w:contextualSpacing w:val="0"/>
        <w:rPr>
          <w:rFonts w:ascii="Helvetica Neue" w:hAnsi="Helvetica Neue" w:cs="Arial"/>
        </w:rPr>
      </w:pPr>
      <w:r w:rsidRPr="001115C5">
        <w:rPr>
          <w:rFonts w:ascii="Helvetica Neue" w:hAnsi="Helvetica Neue" w:cs="Arial"/>
        </w:rPr>
        <w:t>The application for Conditional Use Permit and for Cannabis Retailer’s operating permit shall be unified in a single document.</w:t>
      </w:r>
    </w:p>
    <w:p w14:paraId="0A3F9A08" w14:textId="77777777" w:rsidR="005A639C" w:rsidRPr="001115C5" w:rsidRDefault="00075D47" w:rsidP="00064063">
      <w:pPr>
        <w:pStyle w:val="ListParagraph"/>
        <w:numPr>
          <w:ilvl w:val="0"/>
          <w:numId w:val="7"/>
        </w:numPr>
        <w:spacing w:after="240"/>
        <w:contextualSpacing w:val="0"/>
        <w:rPr>
          <w:rFonts w:ascii="Helvetica Neue" w:hAnsi="Helvetica Neue" w:cs="Arial"/>
        </w:rPr>
      </w:pPr>
      <w:r w:rsidRPr="001115C5">
        <w:rPr>
          <w:rFonts w:ascii="Helvetica Neue" w:hAnsi="Helvetica Neue" w:cs="Arial"/>
        </w:rPr>
        <w:t xml:space="preserve">All applications shall be submitted on a form supplied by the </w:t>
      </w:r>
      <w:r w:rsidRPr="001115C5">
        <w:rPr>
          <w:rFonts w:ascii="Helvetica Neue" w:hAnsi="Helvetica Neue" w:cs="Arial"/>
          <w:color w:val="FF0000"/>
        </w:rPr>
        <w:t>Department</w:t>
      </w:r>
      <w:r w:rsidRPr="001115C5">
        <w:rPr>
          <w:rFonts w:ascii="Helvetica Neue" w:hAnsi="Helvetica Neue" w:cs="Arial"/>
        </w:rPr>
        <w:t xml:space="preserve"> and shall state:</w:t>
      </w:r>
    </w:p>
    <w:p w14:paraId="711A14B6" w14:textId="77777777" w:rsidR="005A639C" w:rsidRPr="001115C5" w:rsidRDefault="00075D47" w:rsidP="00064063">
      <w:pPr>
        <w:pStyle w:val="ListParagraph"/>
        <w:numPr>
          <w:ilvl w:val="1"/>
          <w:numId w:val="7"/>
        </w:numPr>
        <w:spacing w:after="240"/>
        <w:ind w:left="792"/>
        <w:contextualSpacing w:val="0"/>
        <w:rPr>
          <w:rFonts w:ascii="Helvetica Neue" w:hAnsi="Helvetica Neue" w:cs="Arial"/>
        </w:rPr>
      </w:pPr>
      <w:r w:rsidRPr="001115C5">
        <w:rPr>
          <w:rFonts w:ascii="Helvetica Neue" w:hAnsi="Helvetica Neue" w:cs="Arial"/>
        </w:rPr>
        <w:t>The name, address, and telephone number of each Owner.</w:t>
      </w:r>
    </w:p>
    <w:p w14:paraId="0B4E8A7C" w14:textId="77777777" w:rsidR="005A639C" w:rsidRPr="001115C5" w:rsidRDefault="00075D47" w:rsidP="00064063">
      <w:pPr>
        <w:pStyle w:val="ListParagraph"/>
        <w:numPr>
          <w:ilvl w:val="1"/>
          <w:numId w:val="7"/>
        </w:numPr>
        <w:spacing w:after="240"/>
        <w:ind w:left="792"/>
        <w:contextualSpacing w:val="0"/>
        <w:rPr>
          <w:rFonts w:ascii="Helvetica Neue" w:hAnsi="Helvetica Neue" w:cs="Arial"/>
        </w:rPr>
      </w:pPr>
      <w:r w:rsidRPr="001115C5">
        <w:rPr>
          <w:rFonts w:ascii="Helvetica Neue" w:hAnsi="Helvetica Neue" w:cs="Arial"/>
        </w:rPr>
        <w:t>The business name, address, and telephone number of the single fixed location for which a permit is sought.</w:t>
      </w:r>
    </w:p>
    <w:p w14:paraId="6901D1D3" w14:textId="1299E6B3" w:rsidR="005A639C" w:rsidRPr="001115C5" w:rsidRDefault="00075D47" w:rsidP="00064063">
      <w:pPr>
        <w:pStyle w:val="ListParagraph"/>
        <w:numPr>
          <w:ilvl w:val="1"/>
          <w:numId w:val="7"/>
        </w:numPr>
        <w:spacing w:after="240"/>
        <w:ind w:left="792"/>
        <w:contextualSpacing w:val="0"/>
        <w:rPr>
          <w:rFonts w:ascii="Helvetica Neue" w:hAnsi="Helvetica Neue" w:cs="Arial"/>
        </w:rPr>
      </w:pPr>
      <w:r w:rsidRPr="001115C5">
        <w:rPr>
          <w:rFonts w:ascii="Helvetica Neue" w:hAnsi="Helvetica Neue" w:cs="Arial"/>
        </w:rPr>
        <w:lastRenderedPageBreak/>
        <w:t xml:space="preserve">A single name and mailing address to receive all communications and notices required by, authorized by, or convenient to the enforcement of this </w:t>
      </w:r>
      <w:r w:rsidR="008B35D9" w:rsidRPr="001115C5">
        <w:rPr>
          <w:rFonts w:ascii="Helvetica Neue" w:hAnsi="Helvetica Neue" w:cs="Arial"/>
          <w:color w:val="FF0000"/>
        </w:rPr>
        <w:t>[Article/Chapter]</w:t>
      </w:r>
      <w:r w:rsidRPr="001115C5">
        <w:rPr>
          <w:rFonts w:ascii="Helvetica Neue" w:hAnsi="Helvetica Neue" w:cs="Arial"/>
        </w:rPr>
        <w:t xml:space="preserve">. If no such address is supplied, the </w:t>
      </w:r>
      <w:r w:rsidRPr="001115C5">
        <w:rPr>
          <w:rFonts w:ascii="Helvetica Neue" w:hAnsi="Helvetica Neue" w:cs="Arial"/>
          <w:color w:val="FF0000"/>
        </w:rPr>
        <w:t>Department</w:t>
      </w:r>
      <w:r w:rsidRPr="001115C5">
        <w:rPr>
          <w:rFonts w:ascii="Helvetica Neue" w:hAnsi="Helvetica Neue" w:cs="Arial"/>
        </w:rPr>
        <w:t xml:space="preserve"> may provide notice at the business address specified in subsection (b) above.</w:t>
      </w:r>
    </w:p>
    <w:p w14:paraId="269AF852" w14:textId="2A932412" w:rsidR="00C95C7F" w:rsidRPr="001115C5" w:rsidRDefault="00C95C7F" w:rsidP="00064063">
      <w:pPr>
        <w:pStyle w:val="ListParagraph"/>
        <w:numPr>
          <w:ilvl w:val="1"/>
          <w:numId w:val="7"/>
        </w:numPr>
        <w:spacing w:after="240"/>
        <w:ind w:left="792"/>
        <w:contextualSpacing w:val="0"/>
        <w:rPr>
          <w:rFonts w:ascii="Helvetica Neue" w:hAnsi="Helvetica Neue" w:cs="Arial"/>
        </w:rPr>
      </w:pPr>
      <w:r w:rsidRPr="001115C5">
        <w:rPr>
          <w:rFonts w:ascii="Helvetica Neue" w:hAnsi="Helvetica Neue" w:cs="Arial"/>
        </w:rPr>
        <w:t xml:space="preserve">Whether or not any Owner or any agent of the Owner has, within the previous five years, admitted violating, or been found to have violated, California or local Cannabis Retailing laws of any state or local government or this </w:t>
      </w:r>
      <w:r w:rsidR="008B35D9" w:rsidRPr="001115C5">
        <w:rPr>
          <w:rFonts w:ascii="Helvetica Neue" w:hAnsi="Helvetica Neue" w:cs="Arial"/>
          <w:color w:val="FF0000"/>
        </w:rPr>
        <w:t>[Article/Chapter]</w:t>
      </w:r>
      <w:r w:rsidRPr="001115C5">
        <w:rPr>
          <w:rFonts w:ascii="Helvetica Neue" w:hAnsi="Helvetica Neue" w:cs="Arial"/>
        </w:rPr>
        <w:t xml:space="preserve"> and, if so, the dates and locations of all such violations and such other information about those violations as the </w:t>
      </w:r>
      <w:r w:rsidRPr="001115C5">
        <w:rPr>
          <w:rFonts w:ascii="Helvetica Neue" w:hAnsi="Helvetica Neue" w:cs="Arial"/>
          <w:color w:val="FF0000"/>
        </w:rPr>
        <w:t>Department</w:t>
      </w:r>
      <w:r w:rsidRPr="001115C5">
        <w:rPr>
          <w:rFonts w:ascii="Helvetica Neue" w:hAnsi="Helvetica Neue" w:cs="Arial"/>
        </w:rPr>
        <w:t xml:space="preserve"> may require.</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075D47" w:rsidRPr="001115C5" w14:paraId="68441DEB" w14:textId="77777777" w:rsidTr="00EB22B8">
        <w:tc>
          <w:tcPr>
            <w:tcW w:w="10188" w:type="dxa"/>
            <w:shd w:val="clear" w:color="auto" w:fill="D9D9D9" w:themeFill="background1" w:themeFillShade="D9"/>
          </w:tcPr>
          <w:p w14:paraId="2C3E2CA9" w14:textId="505782FA" w:rsidR="00075D47" w:rsidRPr="001115C5" w:rsidRDefault="00075D47" w:rsidP="00EB22B8">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xml:space="preserve">: </w:t>
            </w:r>
            <w:r w:rsidR="00C95C7F" w:rsidRPr="001115C5">
              <w:rPr>
                <w:rFonts w:ascii="Helvetica Neue" w:eastAsia="Helvetica Neue" w:hAnsi="Helvetica Neue" w:cs="Arial"/>
              </w:rPr>
              <w:t xml:space="preserve">This provision requires a Cannabis Retailer to disclose past violations. As businesses are permitted, this information will make it easier for staff to determine if the application requires closer scrutiny. If the Retailer does not disclose past violations and a permit is issued, the permit can be revoked when past violations are discovered pursuant to </w:t>
            </w:r>
            <w:r w:rsidR="009B6E6B">
              <w:rPr>
                <w:rFonts w:ascii="Helvetica Neue" w:eastAsia="Helvetica Neue" w:hAnsi="Helvetica Neue" w:cs="Arial"/>
              </w:rPr>
              <w:t>SECTION</w:t>
            </w:r>
            <w:r w:rsidR="00C95C7F" w:rsidRPr="001115C5">
              <w:rPr>
                <w:rFonts w:ascii="Helvetica Neue" w:eastAsia="Helvetica Neue" w:hAnsi="Helvetica Neue" w:cs="Arial"/>
              </w:rPr>
              <w:t xml:space="preserve"> II</w:t>
            </w:r>
            <w:r w:rsidR="00CE4BA1">
              <w:rPr>
                <w:rFonts w:ascii="Helvetica Neue" w:eastAsia="Helvetica Neue" w:hAnsi="Helvetica Neue" w:cs="Arial"/>
              </w:rPr>
              <w:t>.</w:t>
            </w:r>
            <w:r w:rsidR="009B6E6B">
              <w:rPr>
                <w:rFonts w:ascii="Helvetica Neue" w:eastAsia="Helvetica Neue" w:hAnsi="Helvetica Neue" w:cs="Arial"/>
              </w:rPr>
              <w:t xml:space="preserve"> Section </w:t>
            </w:r>
            <w:r w:rsidR="00C95C7F" w:rsidRPr="001115C5">
              <w:rPr>
                <w:rFonts w:ascii="Helvetica Neue" w:eastAsia="Helvetica Neue" w:hAnsi="Helvetica Neue" w:cs="Arial"/>
              </w:rPr>
              <w:t>N below.</w:t>
            </w:r>
          </w:p>
        </w:tc>
      </w:tr>
    </w:tbl>
    <w:p w14:paraId="63D6E778" w14:textId="77777777" w:rsidR="00500DAC" w:rsidRPr="001115C5" w:rsidRDefault="00C95C7F" w:rsidP="00064063">
      <w:pPr>
        <w:pStyle w:val="ListParagraph"/>
        <w:numPr>
          <w:ilvl w:val="1"/>
          <w:numId w:val="7"/>
        </w:numPr>
        <w:spacing w:before="480" w:after="240"/>
        <w:ind w:left="792"/>
        <w:contextualSpacing w:val="0"/>
        <w:rPr>
          <w:rFonts w:ascii="Helvetica Neue" w:hAnsi="Helvetica Neue" w:cs="Arial"/>
        </w:rPr>
      </w:pPr>
      <w:r w:rsidRPr="001115C5">
        <w:rPr>
          <w:rFonts w:ascii="Helvetica Neue" w:hAnsi="Helvetica Neue" w:cs="Arial"/>
        </w:rPr>
        <w:t>A clear description of the proposed approach and commitments to ensure equity in hiring.</w:t>
      </w:r>
    </w:p>
    <w:p w14:paraId="727381D8" w14:textId="77777777" w:rsidR="00500DAC" w:rsidRPr="001115C5" w:rsidRDefault="00C95C7F" w:rsidP="00064063">
      <w:pPr>
        <w:pStyle w:val="ListParagraph"/>
        <w:numPr>
          <w:ilvl w:val="1"/>
          <w:numId w:val="7"/>
        </w:numPr>
        <w:spacing w:after="240"/>
        <w:ind w:left="792"/>
        <w:contextualSpacing w:val="0"/>
        <w:rPr>
          <w:rFonts w:ascii="Helvetica Neue" w:hAnsi="Helvetica Neue" w:cs="Arial"/>
        </w:rPr>
      </w:pPr>
      <w:r w:rsidRPr="001115C5">
        <w:rPr>
          <w:rFonts w:ascii="Helvetica Neue" w:hAnsi="Helvetica Neue" w:cs="Arial"/>
        </w:rPr>
        <w:t>Whether any Owner has previously held a Cannabis Retailer operating permit or other Cannabis business license anywhere, and the type, location and period of said permit(s)/license(s).</w:t>
      </w:r>
    </w:p>
    <w:p w14:paraId="7C7EE324" w14:textId="27711443" w:rsidR="00500DAC" w:rsidRPr="001115C5" w:rsidRDefault="00C95C7F" w:rsidP="00064063">
      <w:pPr>
        <w:pStyle w:val="ListParagraph"/>
        <w:numPr>
          <w:ilvl w:val="1"/>
          <w:numId w:val="7"/>
        </w:numPr>
        <w:spacing w:after="240"/>
        <w:ind w:left="792"/>
        <w:contextualSpacing w:val="0"/>
        <w:rPr>
          <w:rFonts w:ascii="Helvetica Neue" w:hAnsi="Helvetica Neue" w:cs="Arial"/>
        </w:rPr>
      </w:pPr>
      <w:r w:rsidRPr="001115C5">
        <w:rPr>
          <w:rFonts w:ascii="Helvetica Neue" w:hAnsi="Helvetica Neue" w:cs="Arial"/>
        </w:rPr>
        <w:t xml:space="preserve">Such other information as the </w:t>
      </w:r>
      <w:r w:rsidRPr="001115C5">
        <w:rPr>
          <w:rFonts w:ascii="Helvetica Neue" w:hAnsi="Helvetica Neue" w:cs="Arial"/>
          <w:color w:val="FF0000"/>
        </w:rPr>
        <w:t>Department</w:t>
      </w:r>
      <w:r w:rsidRPr="001115C5">
        <w:rPr>
          <w:rFonts w:ascii="Helvetica Neue" w:hAnsi="Helvetica Neue" w:cs="Arial"/>
        </w:rPr>
        <w:t xml:space="preserve"> deems necessary for the administration or enforcement of this </w:t>
      </w:r>
      <w:r w:rsidR="008B35D9" w:rsidRPr="001115C5">
        <w:rPr>
          <w:rFonts w:ascii="Helvetica Neue" w:hAnsi="Helvetica Neue" w:cs="Arial"/>
          <w:color w:val="FF0000"/>
        </w:rPr>
        <w:t>[Article/Chapter]</w:t>
      </w:r>
      <w:r w:rsidRPr="001115C5">
        <w:rPr>
          <w:rFonts w:ascii="Helvetica Neue" w:hAnsi="Helvetica Neue" w:cs="Arial"/>
        </w:rPr>
        <w:t>.</w:t>
      </w:r>
    </w:p>
    <w:p w14:paraId="23F5CB26" w14:textId="7DF8FDF1" w:rsidR="00500DAC" w:rsidRPr="001115C5" w:rsidRDefault="00C95C7F" w:rsidP="00064063">
      <w:pPr>
        <w:pStyle w:val="ListParagraph"/>
        <w:numPr>
          <w:ilvl w:val="0"/>
          <w:numId w:val="7"/>
        </w:numPr>
        <w:spacing w:after="240"/>
        <w:contextualSpacing w:val="0"/>
        <w:rPr>
          <w:rFonts w:ascii="Helvetica Neue" w:hAnsi="Helvetica Neue" w:cs="Arial"/>
        </w:rPr>
      </w:pPr>
      <w:r w:rsidRPr="001115C5">
        <w:rPr>
          <w:rFonts w:ascii="Helvetica Neue" w:hAnsi="Helvetica Neue" w:cs="Arial"/>
        </w:rPr>
        <w:t xml:space="preserve">Referral to Other Departments or Agencies. The </w:t>
      </w:r>
      <w:r w:rsidRPr="00864E02">
        <w:rPr>
          <w:rFonts w:ascii="Helvetica Neue" w:hAnsi="Helvetica Neue" w:cs="Arial"/>
          <w:color w:val="FF0000"/>
        </w:rPr>
        <w:t>Department</w:t>
      </w:r>
      <w:r w:rsidRPr="001115C5">
        <w:rPr>
          <w:rFonts w:ascii="Helvetica Neue" w:hAnsi="Helvetica Neue" w:cs="Arial"/>
        </w:rPr>
        <w:t xml:space="preserve"> may refer the application to other departments or agencies to determine whether the proposed location complies with the </w:t>
      </w:r>
      <w:r w:rsidR="008B35D9" w:rsidRPr="001115C5">
        <w:rPr>
          <w:rFonts w:ascii="Helvetica Neue" w:hAnsi="Helvetica Neue" w:cs="Arial"/>
          <w:color w:val="FF0000"/>
        </w:rPr>
        <w:t>[City/County]</w:t>
      </w:r>
      <w:r w:rsidRPr="001115C5">
        <w:rPr>
          <w:rFonts w:ascii="Helvetica Neue" w:hAnsi="Helvetica Neue" w:cs="Arial"/>
        </w:rPr>
        <w:t xml:space="preserve"> building, health, zoning, and fire ordinances or other applicable ordinances or laws and this </w:t>
      </w:r>
      <w:r w:rsidR="008B35D9" w:rsidRPr="001115C5">
        <w:rPr>
          <w:rFonts w:ascii="Helvetica Neue" w:hAnsi="Helvetica Neue" w:cs="Arial"/>
          <w:color w:val="FF0000"/>
        </w:rPr>
        <w:t>[Article/Chapter]</w:t>
      </w:r>
      <w:r w:rsidRPr="001115C5">
        <w:rPr>
          <w:rFonts w:ascii="Helvetica Neue" w:hAnsi="Helvetica Neue" w:cs="Arial"/>
        </w:rPr>
        <w:t>.</w:t>
      </w:r>
    </w:p>
    <w:p w14:paraId="77C9C6F3" w14:textId="43F3134E" w:rsidR="00075D47" w:rsidRPr="001115C5" w:rsidRDefault="00C95C7F" w:rsidP="00064063">
      <w:pPr>
        <w:pStyle w:val="ListParagraph"/>
        <w:numPr>
          <w:ilvl w:val="0"/>
          <w:numId w:val="7"/>
        </w:numPr>
        <w:spacing w:after="240"/>
        <w:contextualSpacing w:val="0"/>
        <w:rPr>
          <w:rFonts w:ascii="Helvetica Neue" w:hAnsi="Helvetica Neue" w:cs="Arial"/>
        </w:rPr>
      </w:pPr>
      <w:r w:rsidRPr="001115C5">
        <w:rPr>
          <w:rFonts w:ascii="Helvetica Neue" w:hAnsi="Helvetica Neue" w:cs="Arial"/>
        </w:rPr>
        <w:t xml:space="preserve">Public Hearing. Notice and public hearing requirements shall be as set forth in </w:t>
      </w:r>
      <w:r w:rsidRPr="001115C5">
        <w:rPr>
          <w:rFonts w:ascii="Helvetica Neue" w:hAnsi="Helvetica Neue" w:cs="Arial"/>
          <w:color w:val="FF0000"/>
        </w:rPr>
        <w:t xml:space="preserve">Section __________ </w:t>
      </w:r>
      <w:r w:rsidRPr="001115C5">
        <w:rPr>
          <w:rFonts w:ascii="Helvetica Neue" w:hAnsi="Helvetica Neue" w:cs="Arial"/>
        </w:rPr>
        <w:t xml:space="preserve">of the </w:t>
      </w:r>
      <w:r w:rsidR="008B35D9" w:rsidRPr="001115C5">
        <w:rPr>
          <w:rFonts w:ascii="Helvetica Neue" w:hAnsi="Helvetica Neue" w:cs="Arial"/>
          <w:color w:val="FF0000"/>
        </w:rPr>
        <w:t>[City/County]</w:t>
      </w:r>
      <w:r w:rsidRPr="001115C5">
        <w:rPr>
          <w:rFonts w:ascii="Helvetica Neue" w:hAnsi="Helvetica Neue" w:cs="Arial"/>
        </w:rPr>
        <w:t xml:space="preserve"> Zoning Ordinance pertaining to conditional use permits.</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C95C7F" w:rsidRPr="001115C5" w14:paraId="5C109E84" w14:textId="77777777" w:rsidTr="00EB22B8">
        <w:tc>
          <w:tcPr>
            <w:tcW w:w="10188" w:type="dxa"/>
            <w:shd w:val="clear" w:color="auto" w:fill="D9D9D9" w:themeFill="background1" w:themeFillShade="D9"/>
          </w:tcPr>
          <w:p w14:paraId="627FCE0C" w14:textId="32CF0F71" w:rsidR="00C95C7F" w:rsidRPr="001115C5" w:rsidRDefault="00C95C7F" w:rsidP="00EB22B8">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xml:space="preserve">: This requirement authorizes administrative and enforcement staff to establish application forms that require information to aid enforcement of the ordinance. All information specified in an application pursuant to this section will be subject to disclosure under the </w:t>
            </w:r>
            <w:r w:rsidRPr="001115C5">
              <w:rPr>
                <w:rFonts w:ascii="Helvetica Neue" w:eastAsia="Helvetica Neue" w:hAnsi="Helvetica Neue" w:cs="Arial"/>
              </w:rPr>
              <w:lastRenderedPageBreak/>
              <w:t xml:space="preserve">California Public Records Act (California Government Code section 6250 </w:t>
            </w:r>
            <w:r w:rsidRPr="001115C5">
              <w:rPr>
                <w:rFonts w:ascii="Helvetica Neue" w:eastAsia="Helvetica Neue" w:hAnsi="Helvetica Neue" w:cs="Arial"/>
                <w:i/>
                <w:iCs/>
              </w:rPr>
              <w:t>et seq.),</w:t>
            </w:r>
            <w:r w:rsidRPr="001115C5">
              <w:rPr>
                <w:rFonts w:ascii="Helvetica Neue" w:eastAsia="Helvetica Neue" w:hAnsi="Helvetica Neue" w:cs="Arial"/>
              </w:rPr>
              <w:t xml:space="preserve"> subject to the laws’ exemptions.</w:t>
            </w:r>
          </w:p>
        </w:tc>
      </w:tr>
    </w:tbl>
    <w:p w14:paraId="28ADD9DA" w14:textId="5C197124" w:rsidR="00A34642" w:rsidRPr="001115C5" w:rsidRDefault="00C95C7F" w:rsidP="00064063">
      <w:pPr>
        <w:pStyle w:val="ListParagraph"/>
        <w:numPr>
          <w:ilvl w:val="0"/>
          <w:numId w:val="7"/>
        </w:numPr>
        <w:spacing w:before="480" w:after="240"/>
        <w:contextualSpacing w:val="0"/>
        <w:rPr>
          <w:rFonts w:ascii="Helvetica Neue" w:hAnsi="Helvetica Neue" w:cs="Arial"/>
        </w:rPr>
      </w:pPr>
      <w:r w:rsidRPr="001115C5">
        <w:rPr>
          <w:rFonts w:ascii="Helvetica Neue" w:hAnsi="Helvetica Neue" w:cs="Arial"/>
          <w:b/>
          <w:bCs/>
        </w:rPr>
        <w:lastRenderedPageBreak/>
        <w:t>Action on Permit Application.</w:t>
      </w:r>
      <w:r w:rsidRPr="001115C5">
        <w:rPr>
          <w:rFonts w:ascii="Helvetica Neue" w:hAnsi="Helvetica Neue" w:cs="Arial"/>
        </w:rPr>
        <w:t xml:space="preserve"> The </w:t>
      </w:r>
      <w:r w:rsidRPr="001115C5">
        <w:rPr>
          <w:rFonts w:ascii="Helvetica Neue" w:hAnsi="Helvetica Neue" w:cs="Arial"/>
          <w:color w:val="FF0000"/>
        </w:rPr>
        <w:t>Department</w:t>
      </w:r>
      <w:r w:rsidRPr="001115C5">
        <w:rPr>
          <w:rFonts w:ascii="Helvetica Neue" w:hAnsi="Helvetica Neue" w:cs="Arial"/>
        </w:rPr>
        <w:t xml:space="preserve"> may approve, but is not obligated to approve, issuance of the permit to allow Cannabis Retailing at a particular location upon making the following findings </w:t>
      </w:r>
      <w:r w:rsidRPr="001115C5">
        <w:rPr>
          <w:rFonts w:ascii="Helvetica Neue" w:hAnsi="Helvetica Neue" w:cs="Arial"/>
          <w:color w:val="FF0000"/>
        </w:rPr>
        <w:t>[in addition to] [in lieu of]</w:t>
      </w:r>
      <w:r w:rsidRPr="001115C5">
        <w:rPr>
          <w:rFonts w:ascii="Helvetica Neue" w:hAnsi="Helvetica Neue" w:cs="Arial"/>
        </w:rPr>
        <w:t xml:space="preserve"> the findings required by the municipality’s conditional use permit ordinance </w:t>
      </w:r>
      <w:r w:rsidR="008B35D9" w:rsidRPr="001115C5">
        <w:rPr>
          <w:rFonts w:ascii="Helvetica Neue" w:hAnsi="Helvetica Neue" w:cs="Arial"/>
          <w:color w:val="FF0000"/>
        </w:rPr>
        <w:t>[Article/Chapter]</w:t>
      </w:r>
      <w:r w:rsidRPr="001115C5">
        <w:rPr>
          <w:rFonts w:ascii="Helvetica Neue" w:hAnsi="Helvetica Neue" w:cs="Arial"/>
        </w:rPr>
        <w:t>:</w:t>
      </w:r>
    </w:p>
    <w:p w14:paraId="2E49818E" w14:textId="10F1DF70" w:rsidR="00A34642" w:rsidRPr="001115C5" w:rsidRDefault="00C95C7F" w:rsidP="00064063">
      <w:pPr>
        <w:pStyle w:val="ListParagraph"/>
        <w:numPr>
          <w:ilvl w:val="1"/>
          <w:numId w:val="7"/>
        </w:numPr>
        <w:spacing w:after="240"/>
        <w:ind w:left="792"/>
        <w:contextualSpacing w:val="0"/>
        <w:rPr>
          <w:rFonts w:ascii="Helvetica Neue" w:hAnsi="Helvetica Neue" w:cs="Arial"/>
        </w:rPr>
      </w:pPr>
      <w:r w:rsidRPr="001115C5">
        <w:rPr>
          <w:rFonts w:ascii="Helvetica Neue" w:hAnsi="Helvetica Neue" w:cs="Arial"/>
        </w:rPr>
        <w:t xml:space="preserve">The Cannabis Retailing location identified in the application complies with this </w:t>
      </w:r>
      <w:r w:rsidR="008B35D9" w:rsidRPr="001115C5">
        <w:rPr>
          <w:rFonts w:ascii="Helvetica Neue" w:hAnsi="Helvetica Neue" w:cs="Arial"/>
          <w:color w:val="FF0000"/>
        </w:rPr>
        <w:t>[Article/Chapter</w:t>
      </w:r>
      <w:proofErr w:type="gramStart"/>
      <w:r w:rsidR="008B35D9" w:rsidRPr="001115C5">
        <w:rPr>
          <w:rFonts w:ascii="Helvetica Neue" w:hAnsi="Helvetica Neue" w:cs="Arial"/>
          <w:color w:val="FF0000"/>
        </w:rPr>
        <w:t>]</w:t>
      </w:r>
      <w:r w:rsidRPr="001115C5">
        <w:rPr>
          <w:rFonts w:ascii="Helvetica Neue" w:hAnsi="Helvetica Neue" w:cs="Arial"/>
        </w:rPr>
        <w:t>;</w:t>
      </w:r>
      <w:proofErr w:type="gramEnd"/>
    </w:p>
    <w:p w14:paraId="09CF815E" w14:textId="20AF3CA8" w:rsidR="00A34642" w:rsidRPr="001115C5" w:rsidRDefault="00C95C7F" w:rsidP="00064063">
      <w:pPr>
        <w:pStyle w:val="ListParagraph"/>
        <w:numPr>
          <w:ilvl w:val="1"/>
          <w:numId w:val="7"/>
        </w:numPr>
        <w:spacing w:after="240"/>
        <w:ind w:left="792"/>
        <w:contextualSpacing w:val="0"/>
        <w:rPr>
          <w:rFonts w:ascii="Helvetica Neue" w:hAnsi="Helvetica Neue" w:cs="Arial"/>
        </w:rPr>
      </w:pPr>
      <w:r w:rsidRPr="001115C5">
        <w:rPr>
          <w:rFonts w:ascii="Helvetica Neue" w:hAnsi="Helvetica Neue" w:cs="Arial"/>
        </w:rPr>
        <w:t>The permit would not exceed the allowable density limits for Cannabis Retailers</w:t>
      </w:r>
      <w:r w:rsidR="009B6E6B">
        <w:rPr>
          <w:rFonts w:ascii="Helvetica Neue" w:hAnsi="Helvetica Neue" w:cs="Arial"/>
        </w:rPr>
        <w:t>,</w:t>
      </w:r>
      <w:r w:rsidRPr="001115C5">
        <w:rPr>
          <w:rFonts w:ascii="Helvetica Neue" w:hAnsi="Helvetica Neue" w:cs="Arial"/>
        </w:rPr>
        <w:t xml:space="preserve"> nor the number of licenses covered by the call for </w:t>
      </w:r>
      <w:proofErr w:type="gramStart"/>
      <w:r w:rsidRPr="001115C5">
        <w:rPr>
          <w:rFonts w:ascii="Helvetica Neue" w:hAnsi="Helvetica Neue" w:cs="Arial"/>
        </w:rPr>
        <w:t>proposals;</w:t>
      </w:r>
      <w:proofErr w:type="gramEnd"/>
    </w:p>
    <w:p w14:paraId="64A82F1B" w14:textId="1737AEDD" w:rsidR="00A34642" w:rsidRPr="001115C5" w:rsidRDefault="00C95C7F" w:rsidP="00064063">
      <w:pPr>
        <w:pStyle w:val="ListParagraph"/>
        <w:numPr>
          <w:ilvl w:val="1"/>
          <w:numId w:val="7"/>
        </w:numPr>
        <w:spacing w:after="240"/>
        <w:ind w:left="792"/>
        <w:contextualSpacing w:val="0"/>
        <w:rPr>
          <w:rFonts w:ascii="Helvetica Neue" w:hAnsi="Helvetica Neue" w:cs="Arial"/>
        </w:rPr>
      </w:pPr>
      <w:r w:rsidRPr="001115C5">
        <w:rPr>
          <w:rFonts w:ascii="Helvetica Neue" w:hAnsi="Helvetica Neue" w:cs="Arial"/>
        </w:rPr>
        <w:t xml:space="preserve">The Cannabis Retailing identified in the application complies with this </w:t>
      </w:r>
      <w:r w:rsidR="008B35D9" w:rsidRPr="001115C5">
        <w:rPr>
          <w:rFonts w:ascii="Helvetica Neue" w:hAnsi="Helvetica Neue" w:cs="Arial"/>
          <w:color w:val="FF0000"/>
        </w:rPr>
        <w:t>[Article/Chapter]</w:t>
      </w:r>
      <w:r w:rsidRPr="001115C5">
        <w:rPr>
          <w:rFonts w:ascii="Helvetica Neue" w:hAnsi="Helvetica Neue" w:cs="Arial"/>
        </w:rPr>
        <w:t xml:space="preserve"> and other applicable </w:t>
      </w:r>
      <w:proofErr w:type="gramStart"/>
      <w:r w:rsidRPr="001115C5">
        <w:rPr>
          <w:rFonts w:ascii="Helvetica Neue" w:hAnsi="Helvetica Neue" w:cs="Arial"/>
        </w:rPr>
        <w:t>law;</w:t>
      </w:r>
      <w:proofErr w:type="gramEnd"/>
    </w:p>
    <w:p w14:paraId="6B3010FC" w14:textId="6EE8E22F" w:rsidR="00A34642" w:rsidRPr="001115C5" w:rsidRDefault="00C95C7F" w:rsidP="00064063">
      <w:pPr>
        <w:pStyle w:val="ListParagraph"/>
        <w:numPr>
          <w:ilvl w:val="1"/>
          <w:numId w:val="7"/>
        </w:numPr>
        <w:spacing w:after="240"/>
        <w:ind w:left="792"/>
        <w:contextualSpacing w:val="0"/>
        <w:rPr>
          <w:rFonts w:ascii="Helvetica Neue" w:hAnsi="Helvetica Neue" w:cs="Arial"/>
        </w:rPr>
      </w:pPr>
      <w:r w:rsidRPr="001115C5">
        <w:rPr>
          <w:rFonts w:ascii="Helvetica Neue" w:hAnsi="Helvetica Neue" w:cs="Arial"/>
        </w:rPr>
        <w:t xml:space="preserve">No Owner identified in the application is one to whom this </w:t>
      </w:r>
      <w:r w:rsidR="008B35D9" w:rsidRPr="001115C5">
        <w:rPr>
          <w:rFonts w:ascii="Helvetica Neue" w:hAnsi="Helvetica Neue" w:cs="Arial"/>
          <w:color w:val="FF0000"/>
        </w:rPr>
        <w:t>[Article/Chapter]</w:t>
      </w:r>
      <w:r w:rsidRPr="001115C5">
        <w:rPr>
          <w:rFonts w:ascii="Helvetica Neue" w:hAnsi="Helvetica Neue" w:cs="Arial"/>
        </w:rPr>
        <w:t xml:space="preserve">, prohibits the </w:t>
      </w:r>
      <w:r w:rsidRPr="001115C5">
        <w:rPr>
          <w:rFonts w:ascii="Helvetica Neue" w:hAnsi="Helvetica Neue" w:cs="Arial"/>
          <w:color w:val="FF0000"/>
        </w:rPr>
        <w:t>Department</w:t>
      </w:r>
      <w:r w:rsidRPr="001115C5">
        <w:rPr>
          <w:rFonts w:ascii="Helvetica Neue" w:hAnsi="Helvetica Neue" w:cs="Arial"/>
        </w:rPr>
        <w:t xml:space="preserve"> to issue a </w:t>
      </w:r>
      <w:proofErr w:type="gramStart"/>
      <w:r w:rsidRPr="001115C5">
        <w:rPr>
          <w:rFonts w:ascii="Helvetica Neue" w:hAnsi="Helvetica Neue" w:cs="Arial"/>
        </w:rPr>
        <w:t>permit;</w:t>
      </w:r>
      <w:proofErr w:type="gramEnd"/>
    </w:p>
    <w:p w14:paraId="40181843" w14:textId="77777777" w:rsidR="00A34642" w:rsidRPr="001115C5" w:rsidRDefault="00C95C7F" w:rsidP="00064063">
      <w:pPr>
        <w:pStyle w:val="ListParagraph"/>
        <w:numPr>
          <w:ilvl w:val="1"/>
          <w:numId w:val="7"/>
        </w:numPr>
        <w:spacing w:after="240"/>
        <w:ind w:left="792"/>
        <w:contextualSpacing w:val="0"/>
        <w:rPr>
          <w:rFonts w:ascii="Helvetica Neue" w:hAnsi="Helvetica Neue" w:cs="Arial"/>
        </w:rPr>
      </w:pPr>
      <w:r w:rsidRPr="001115C5">
        <w:rPr>
          <w:rFonts w:ascii="Helvetica Neue" w:hAnsi="Helvetica Neue" w:cs="Arial"/>
        </w:rPr>
        <w:t xml:space="preserve">Neither the applicant, nor any of its officers, directors, Owners, or managers, is a licensed physician or other licensed prescriber making patient recommendations for medical Cannabis </w:t>
      </w:r>
      <w:proofErr w:type="gramStart"/>
      <w:r w:rsidRPr="001115C5">
        <w:rPr>
          <w:rFonts w:ascii="Helvetica Neue" w:hAnsi="Helvetica Neue" w:cs="Arial"/>
        </w:rPr>
        <w:t>use;</w:t>
      </w:r>
      <w:proofErr w:type="gramEnd"/>
    </w:p>
    <w:p w14:paraId="4B09F11A" w14:textId="77777777" w:rsidR="00A34642" w:rsidRPr="001115C5" w:rsidRDefault="00C95C7F" w:rsidP="00064063">
      <w:pPr>
        <w:pStyle w:val="ListParagraph"/>
        <w:numPr>
          <w:ilvl w:val="1"/>
          <w:numId w:val="7"/>
        </w:numPr>
        <w:spacing w:after="240"/>
        <w:ind w:left="792"/>
        <w:contextualSpacing w:val="0"/>
        <w:rPr>
          <w:rFonts w:ascii="Helvetica Neue" w:hAnsi="Helvetica Neue" w:cs="Arial"/>
        </w:rPr>
      </w:pPr>
      <w:r w:rsidRPr="001115C5">
        <w:rPr>
          <w:rFonts w:ascii="Helvetica Neue" w:hAnsi="Helvetica Neue" w:cs="Arial"/>
        </w:rPr>
        <w:t xml:space="preserve">The proposed Cannabis Retailing not create or aggravate existing problems on or near the proposed location, such as loitering, criminal activity, health equity, the Cannabis sales to minors, excessive noise, or </w:t>
      </w:r>
      <w:proofErr w:type="gramStart"/>
      <w:r w:rsidRPr="001115C5">
        <w:rPr>
          <w:rFonts w:ascii="Helvetica Neue" w:hAnsi="Helvetica Neue" w:cs="Arial"/>
        </w:rPr>
        <w:t>littering;</w:t>
      </w:r>
      <w:proofErr w:type="gramEnd"/>
    </w:p>
    <w:p w14:paraId="02B40AFF" w14:textId="77777777" w:rsidR="00A34642" w:rsidRPr="001115C5" w:rsidRDefault="00C95C7F" w:rsidP="00064063">
      <w:pPr>
        <w:pStyle w:val="ListParagraph"/>
        <w:numPr>
          <w:ilvl w:val="1"/>
          <w:numId w:val="7"/>
        </w:numPr>
        <w:spacing w:after="240"/>
        <w:ind w:left="792"/>
        <w:contextualSpacing w:val="0"/>
        <w:rPr>
          <w:rFonts w:ascii="Helvetica Neue" w:hAnsi="Helvetica Neue" w:cs="Arial"/>
        </w:rPr>
      </w:pPr>
      <w:r w:rsidRPr="001115C5">
        <w:rPr>
          <w:rFonts w:ascii="Helvetica Neue" w:hAnsi="Helvetica Neue" w:cs="Arial"/>
        </w:rPr>
        <w:t>The proposed establishment will not detrimentally affect its neighborhood considering its distance from residences, Youth-Centers, or other Cannabis Retailers; and</w:t>
      </w:r>
    </w:p>
    <w:p w14:paraId="514F1906" w14:textId="7CA5E0F5" w:rsidR="00C95C7F" w:rsidRPr="001115C5" w:rsidRDefault="00C95C7F" w:rsidP="00064063">
      <w:pPr>
        <w:pStyle w:val="ListParagraph"/>
        <w:numPr>
          <w:ilvl w:val="1"/>
          <w:numId w:val="7"/>
        </w:numPr>
        <w:spacing w:after="240"/>
        <w:ind w:left="792"/>
        <w:contextualSpacing w:val="0"/>
        <w:rPr>
          <w:rFonts w:ascii="Helvetica Neue" w:hAnsi="Helvetica Neue" w:cs="Arial"/>
        </w:rPr>
      </w:pPr>
      <w:r w:rsidRPr="001115C5">
        <w:rPr>
          <w:rFonts w:ascii="Helvetica Neue" w:hAnsi="Helvetica Neue" w:cs="Arial"/>
        </w:rPr>
        <w:t>The proposed establishment will otherwise be compatible with existing and potential uses in its vicinity.</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C95C7F" w:rsidRPr="001115C5" w14:paraId="040517DD" w14:textId="77777777" w:rsidTr="00EB22B8">
        <w:tc>
          <w:tcPr>
            <w:tcW w:w="10188" w:type="dxa"/>
            <w:shd w:val="clear" w:color="auto" w:fill="D9D9D9" w:themeFill="background1" w:themeFillShade="D9"/>
          </w:tcPr>
          <w:p w14:paraId="66B7085B" w14:textId="702D800B" w:rsidR="00C95C7F" w:rsidRPr="001115C5" w:rsidRDefault="00C95C7F" w:rsidP="00C95C7F">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This section requires the government to make a number of findings prior to approval of a conditional use permit. This list should be tailored to local conditions and citizen concerns. These can be instead of, or in addition to, those required for conditional use permits generally under the local government’s zoning ordinance.</w:t>
            </w:r>
          </w:p>
          <w:p w14:paraId="453B0394" w14:textId="16C8680C" w:rsidR="00C95C7F" w:rsidRPr="001115C5" w:rsidRDefault="00C95C7F" w:rsidP="002530E8">
            <w:pPr>
              <w:spacing w:before="120" w:after="120" w:line="360" w:lineRule="auto"/>
              <w:rPr>
                <w:rFonts w:ascii="Helvetica Neue" w:eastAsia="Helvetica Neue" w:hAnsi="Helvetica Neue" w:cs="Arial"/>
              </w:rPr>
            </w:pPr>
            <w:r w:rsidRPr="001115C5">
              <w:rPr>
                <w:rFonts w:ascii="Helvetica Neue" w:eastAsia="Helvetica Neue" w:hAnsi="Helvetica Neue" w:cs="Arial"/>
              </w:rPr>
              <w:lastRenderedPageBreak/>
              <w:t>Although a permit cannot be issued in violation of another provision of the city or county code, it is helpful to list in Section D other ordinances staff should consider.</w:t>
            </w:r>
          </w:p>
        </w:tc>
      </w:tr>
    </w:tbl>
    <w:p w14:paraId="2E21FBE0" w14:textId="3A24A099" w:rsidR="00C95C7F" w:rsidRPr="001115C5" w:rsidRDefault="00C95C7F" w:rsidP="00A34642">
      <w:pPr>
        <w:pStyle w:val="Heading3"/>
        <w:spacing w:before="480" w:after="240"/>
        <w:rPr>
          <w:rFonts w:ascii="Helvetica Neue" w:hAnsi="Helvetica Neue"/>
        </w:rPr>
      </w:pPr>
      <w:bookmarkStart w:id="11" w:name="_Toc65578297"/>
      <w:r w:rsidRPr="001115C5">
        <w:rPr>
          <w:rFonts w:ascii="Helvetica Neue" w:hAnsi="Helvetica Neue"/>
        </w:rPr>
        <w:lastRenderedPageBreak/>
        <w:t>Section E. STANDARDS OF OPERATING</w:t>
      </w:r>
      <w:bookmarkEnd w:id="11"/>
    </w:p>
    <w:p w14:paraId="44C5029B" w14:textId="09EC069E" w:rsidR="00C95C7F" w:rsidRPr="001115C5" w:rsidRDefault="00C95C7F" w:rsidP="00064063">
      <w:pPr>
        <w:pStyle w:val="ListParagraph"/>
        <w:numPr>
          <w:ilvl w:val="0"/>
          <w:numId w:val="8"/>
        </w:numPr>
        <w:spacing w:before="240" w:after="240"/>
        <w:rPr>
          <w:rFonts w:ascii="Helvetica Neue" w:hAnsi="Helvetica Neue" w:cs="Arial"/>
        </w:rPr>
      </w:pPr>
      <w:r w:rsidRPr="001115C5">
        <w:rPr>
          <w:rFonts w:ascii="Helvetica Neue" w:hAnsi="Helvetica Neue" w:cs="Arial"/>
          <w:b/>
          <w:bCs/>
        </w:rPr>
        <w:t>Lawful Business Operation</w:t>
      </w:r>
      <w:r w:rsidRPr="001115C5">
        <w:rPr>
          <w:rFonts w:ascii="Helvetica Neue" w:hAnsi="Helvetica Neue" w:cs="Arial"/>
        </w:rPr>
        <w:t xml:space="preserve">. In the course of Cannabis Retailing or in the operation of the business or maintenance of a location for which a conditional use permit is issued, it shall be a violation of this </w:t>
      </w:r>
      <w:r w:rsidR="008B35D9" w:rsidRPr="001115C5">
        <w:rPr>
          <w:rFonts w:ascii="Helvetica Neue" w:hAnsi="Helvetica Neue" w:cs="Arial"/>
          <w:color w:val="FF0000"/>
        </w:rPr>
        <w:t>[Article/Chapter]</w:t>
      </w:r>
      <w:r w:rsidRPr="001115C5">
        <w:rPr>
          <w:rFonts w:ascii="Helvetica Neue" w:hAnsi="Helvetica Neue" w:cs="Arial"/>
        </w:rPr>
        <w:t xml:space="preserve"> for a permit holder, or any of the permit holder’s agents or employees, to violate any local or state law applicable to Cannabis, Cannabis Products, Cannabis Marketing or Advertising, or Cannabis Retailing.</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C95C7F" w:rsidRPr="001115C5" w14:paraId="3CF165CC" w14:textId="77777777" w:rsidTr="00EB22B8">
        <w:tc>
          <w:tcPr>
            <w:tcW w:w="10188" w:type="dxa"/>
            <w:shd w:val="clear" w:color="auto" w:fill="D9D9D9" w:themeFill="background1" w:themeFillShade="D9"/>
          </w:tcPr>
          <w:p w14:paraId="07A4161F" w14:textId="74C349CA" w:rsidR="00C95C7F" w:rsidRPr="001115C5" w:rsidRDefault="00C95C7F" w:rsidP="00EB22B8">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This provision makes regulating the business an effective tool for comprehensively enforcing cannabis laws. A city or county can suspend or revoke a CUP to require compliance with all Cannabis-related laws. This provision also gives a city or county additional enforcement options: either enforcing the underlying Cannabis law and/or suspending or revoking a CUP. Losing the right to sell cannabis for a period of time will likely be a bigger financial deterrent than an occasional fine imposed under other laws.</w:t>
            </w:r>
          </w:p>
        </w:tc>
      </w:tr>
    </w:tbl>
    <w:p w14:paraId="52A6325E" w14:textId="77777777" w:rsidR="00A34642" w:rsidRPr="001115C5" w:rsidRDefault="000E6B96" w:rsidP="00064063">
      <w:pPr>
        <w:pStyle w:val="ListParagraph"/>
        <w:numPr>
          <w:ilvl w:val="0"/>
          <w:numId w:val="8"/>
        </w:numPr>
        <w:spacing w:before="480" w:after="240"/>
        <w:contextualSpacing w:val="0"/>
        <w:rPr>
          <w:rFonts w:ascii="Helvetica Neue" w:hAnsi="Helvetica Neue" w:cs="Arial"/>
        </w:rPr>
      </w:pPr>
      <w:r w:rsidRPr="001115C5">
        <w:rPr>
          <w:rFonts w:ascii="Helvetica Neue" w:hAnsi="Helvetica Neue" w:cs="Arial"/>
          <w:b/>
          <w:bCs/>
        </w:rPr>
        <w:t>Display of Permit(s)</w:t>
      </w:r>
      <w:r w:rsidRPr="001115C5">
        <w:rPr>
          <w:rFonts w:ascii="Helvetica Neue" w:hAnsi="Helvetica Neue" w:cs="Arial"/>
        </w:rPr>
        <w:t>.</w:t>
      </w:r>
      <w:r w:rsidRPr="001115C5">
        <w:rPr>
          <w:rFonts w:ascii="Helvetica Neue" w:hAnsi="Helvetica Neue" w:cs="Arial"/>
          <w:b/>
          <w:bCs/>
        </w:rPr>
        <w:t xml:space="preserve"> </w:t>
      </w:r>
      <w:r w:rsidRPr="001115C5">
        <w:rPr>
          <w:rFonts w:ascii="Helvetica Neue" w:hAnsi="Helvetica Neue" w:cs="Arial"/>
        </w:rPr>
        <w:t>Each Cannabis Retailer shall prominently display its permit(s) in a publicly visible location at the permitted location.</w:t>
      </w:r>
    </w:p>
    <w:p w14:paraId="373A28DB" w14:textId="77777777" w:rsidR="00A34642" w:rsidRPr="001115C5" w:rsidRDefault="000E6B96" w:rsidP="00064063">
      <w:pPr>
        <w:pStyle w:val="ListParagraph"/>
        <w:numPr>
          <w:ilvl w:val="0"/>
          <w:numId w:val="8"/>
        </w:numPr>
        <w:spacing w:after="240"/>
        <w:contextualSpacing w:val="0"/>
        <w:rPr>
          <w:rFonts w:ascii="Helvetica Neue" w:hAnsi="Helvetica Neue" w:cs="Arial"/>
        </w:rPr>
      </w:pPr>
      <w:r w:rsidRPr="001115C5">
        <w:rPr>
          <w:rFonts w:ascii="Helvetica Neue" w:hAnsi="Helvetica Neue" w:cs="Arial"/>
          <w:b/>
          <w:bCs/>
        </w:rPr>
        <w:t>Positive Identification Required</w:t>
      </w:r>
      <w:r w:rsidRPr="001115C5">
        <w:rPr>
          <w:rFonts w:ascii="Helvetica Neue" w:hAnsi="Helvetica Neue" w:cs="Arial"/>
        </w:rPr>
        <w:t xml:space="preserve">. No Person engaged in Cannabis Retailing shall allow entry into the </w:t>
      </w:r>
      <w:proofErr w:type="gramStart"/>
      <w:r w:rsidRPr="001115C5">
        <w:rPr>
          <w:rFonts w:ascii="Helvetica Neue" w:hAnsi="Helvetica Neue" w:cs="Arial"/>
        </w:rPr>
        <w:t>premises, or</w:t>
      </w:r>
      <w:proofErr w:type="gramEnd"/>
      <w:r w:rsidRPr="001115C5">
        <w:rPr>
          <w:rFonts w:ascii="Helvetica Neue" w:hAnsi="Helvetica Neue" w:cs="Arial"/>
        </w:rPr>
        <w:t xml:space="preserve"> sell or transfer Cannabis or a Cannabis Product to another Person, without first examining the recipient’s identification to confirm the recipient is 21 years of age or older, using electronic ID scanning methods, or 18 years or older in the case of a medical Cannabis patient.</w:t>
      </w:r>
    </w:p>
    <w:p w14:paraId="4CB17AA2" w14:textId="77777777" w:rsidR="00A34642" w:rsidRPr="001115C5" w:rsidRDefault="000E6B96" w:rsidP="00064063">
      <w:pPr>
        <w:pStyle w:val="ListParagraph"/>
        <w:numPr>
          <w:ilvl w:val="0"/>
          <w:numId w:val="8"/>
        </w:numPr>
        <w:spacing w:after="240"/>
        <w:contextualSpacing w:val="0"/>
        <w:rPr>
          <w:rFonts w:ascii="Helvetica Neue" w:hAnsi="Helvetica Neue" w:cs="Arial"/>
        </w:rPr>
      </w:pPr>
      <w:r w:rsidRPr="001115C5">
        <w:rPr>
          <w:rFonts w:ascii="Helvetica Neue" w:hAnsi="Helvetica Neue" w:cs="Arial"/>
          <w:b/>
          <w:bCs/>
        </w:rPr>
        <w:t>Acknowledgement of Legal Age</w:t>
      </w:r>
      <w:r w:rsidRPr="001115C5">
        <w:rPr>
          <w:rFonts w:ascii="Helvetica Neue" w:hAnsi="Helvetica Neue" w:cs="Arial"/>
        </w:rPr>
        <w:t>. All first-time visitors must affirm in writing that they are aware that providing adult-use Cannabis to persons under age 21 is illegal and pledging not to provide purchased Cannabis or Cannabis Products to persons under age 21 (unless the person to whom the Cannabis or Cannabis Product is transferred holds a medical Cannabis prescription for the Cannabis or Cannabis Product transferred).</w:t>
      </w:r>
    </w:p>
    <w:p w14:paraId="4794E1C0" w14:textId="23B76259" w:rsidR="00A34642" w:rsidRPr="001115C5" w:rsidRDefault="000E6B96" w:rsidP="00064063">
      <w:pPr>
        <w:pStyle w:val="ListParagraph"/>
        <w:numPr>
          <w:ilvl w:val="0"/>
          <w:numId w:val="8"/>
        </w:numPr>
        <w:spacing w:after="240"/>
        <w:contextualSpacing w:val="0"/>
        <w:rPr>
          <w:rFonts w:ascii="Helvetica Neue" w:hAnsi="Helvetica Neue" w:cs="Arial"/>
        </w:rPr>
      </w:pPr>
      <w:r w:rsidRPr="001115C5">
        <w:rPr>
          <w:rFonts w:ascii="Helvetica Neue" w:hAnsi="Helvetica Neue" w:cs="Arial"/>
          <w:b/>
          <w:bCs/>
        </w:rPr>
        <w:t xml:space="preserve">Minimum Age </w:t>
      </w:r>
      <w:r w:rsidR="00A34642" w:rsidRPr="001115C5">
        <w:rPr>
          <w:rFonts w:ascii="Helvetica Neue" w:hAnsi="Helvetica Neue" w:cs="Arial"/>
          <w:b/>
          <w:bCs/>
        </w:rPr>
        <w:t>for</w:t>
      </w:r>
      <w:r w:rsidRPr="001115C5">
        <w:rPr>
          <w:rFonts w:ascii="Helvetica Neue" w:hAnsi="Helvetica Neue" w:cs="Arial"/>
          <w:b/>
          <w:bCs/>
        </w:rPr>
        <w:t xml:space="preserve"> Persons Selling Cannabis</w:t>
      </w:r>
      <w:r w:rsidRPr="001115C5">
        <w:rPr>
          <w:rFonts w:ascii="Helvetica Neue" w:hAnsi="Helvetica Neue" w:cs="Arial"/>
        </w:rPr>
        <w:t>. No Person less than 21 years of age may engage in Cannabis Retailing.</w:t>
      </w:r>
    </w:p>
    <w:p w14:paraId="0D063900" w14:textId="42C567BA" w:rsidR="00A34642" w:rsidRPr="001115C5" w:rsidRDefault="000E6B96" w:rsidP="00064063">
      <w:pPr>
        <w:pStyle w:val="ListParagraph"/>
        <w:numPr>
          <w:ilvl w:val="0"/>
          <w:numId w:val="8"/>
        </w:numPr>
        <w:spacing w:after="240"/>
        <w:contextualSpacing w:val="0"/>
        <w:rPr>
          <w:rFonts w:ascii="Helvetica Neue" w:hAnsi="Helvetica Neue" w:cs="Arial"/>
        </w:rPr>
      </w:pPr>
      <w:r w:rsidRPr="001115C5">
        <w:rPr>
          <w:rFonts w:ascii="Helvetica Neue" w:hAnsi="Helvetica Neue" w:cs="Arial"/>
          <w:b/>
          <w:bCs/>
        </w:rPr>
        <w:lastRenderedPageBreak/>
        <w:t>Equity in Hiring</w:t>
      </w:r>
      <w:r w:rsidRPr="001115C5">
        <w:rPr>
          <w:rFonts w:ascii="Helvetica Neue" w:hAnsi="Helvetica Neue" w:cs="Arial"/>
        </w:rPr>
        <w:t>. Cannabis Businesses with non-Owner employees shall prioritize Equity Hires, including individuals from low-income communities, communities with high rates of drug related incarceration, and individuals with a past non-violent drug related arrests and/or convictions.</w:t>
      </w:r>
    </w:p>
    <w:p w14:paraId="48E0CDC4" w14:textId="77777777" w:rsidR="00A34642" w:rsidRPr="001115C5" w:rsidRDefault="000E6B96" w:rsidP="00064063">
      <w:pPr>
        <w:pStyle w:val="ListParagraph"/>
        <w:numPr>
          <w:ilvl w:val="0"/>
          <w:numId w:val="8"/>
        </w:numPr>
        <w:spacing w:after="240"/>
        <w:contextualSpacing w:val="0"/>
        <w:rPr>
          <w:rFonts w:ascii="Helvetica Neue" w:hAnsi="Helvetica Neue" w:cs="Arial"/>
        </w:rPr>
      </w:pPr>
      <w:r w:rsidRPr="001115C5">
        <w:rPr>
          <w:rFonts w:ascii="Helvetica Neue" w:hAnsi="Helvetica Neue" w:cs="Arial"/>
          <w:b/>
          <w:bCs/>
        </w:rPr>
        <w:t>No Prescribers</w:t>
      </w:r>
      <w:r w:rsidRPr="001115C5">
        <w:rPr>
          <w:rFonts w:ascii="Helvetica Neue" w:hAnsi="Helvetica Neue" w:cs="Arial"/>
        </w:rPr>
        <w:t>. A Cannabis Retailer shall not permit a physician or other licensed Prescriber to do any of the following:</w:t>
      </w:r>
    </w:p>
    <w:p w14:paraId="5B235B2C" w14:textId="77777777" w:rsidR="00A34642" w:rsidRPr="001115C5" w:rsidRDefault="000E6B96" w:rsidP="00064063">
      <w:pPr>
        <w:pStyle w:val="ListParagraph"/>
        <w:numPr>
          <w:ilvl w:val="1"/>
          <w:numId w:val="8"/>
        </w:numPr>
        <w:spacing w:after="240"/>
        <w:ind w:left="792"/>
        <w:contextualSpacing w:val="0"/>
        <w:rPr>
          <w:rFonts w:ascii="Helvetica Neue" w:hAnsi="Helvetica Neue" w:cs="Arial"/>
        </w:rPr>
      </w:pPr>
      <w:r w:rsidRPr="001115C5">
        <w:rPr>
          <w:rFonts w:ascii="Helvetica Neue" w:hAnsi="Helvetica Neue" w:cs="Arial"/>
        </w:rPr>
        <w:t xml:space="preserve">Evaluate existing or potential medicinal or adult-use Cannabis users on its premises by any </w:t>
      </w:r>
      <w:proofErr w:type="gramStart"/>
      <w:r w:rsidRPr="001115C5">
        <w:rPr>
          <w:rFonts w:ascii="Helvetica Neue" w:hAnsi="Helvetica Neue" w:cs="Arial"/>
        </w:rPr>
        <w:t>means, or</w:t>
      </w:r>
      <w:proofErr w:type="gramEnd"/>
      <w:r w:rsidRPr="001115C5">
        <w:rPr>
          <w:rFonts w:ascii="Helvetica Neue" w:hAnsi="Helvetica Neue" w:cs="Arial"/>
        </w:rPr>
        <w:t xml:space="preserve"> permit a licensed Prescriber to provide a prescription or recommendation on its premises, including, without limitation, a Prescriber who provides evaluations or recommendations in-person from the permittee’s site or to that site via the internet, fax, electronic, or by any other means.</w:t>
      </w:r>
    </w:p>
    <w:p w14:paraId="4F2E57C0" w14:textId="77777777" w:rsidR="00A34642" w:rsidRPr="001115C5" w:rsidRDefault="000E6B96" w:rsidP="00064063">
      <w:pPr>
        <w:pStyle w:val="ListParagraph"/>
        <w:numPr>
          <w:ilvl w:val="1"/>
          <w:numId w:val="8"/>
        </w:numPr>
        <w:spacing w:after="240"/>
        <w:ind w:left="792"/>
        <w:contextualSpacing w:val="0"/>
        <w:rPr>
          <w:rFonts w:ascii="Helvetica Neue" w:hAnsi="Helvetica Neue" w:cs="Arial"/>
        </w:rPr>
      </w:pPr>
      <w:r w:rsidRPr="001115C5">
        <w:rPr>
          <w:rFonts w:ascii="Helvetica Neue" w:hAnsi="Helvetica Neue" w:cs="Arial"/>
        </w:rPr>
        <w:t>Enter into an agreement with, employ, provide, or offer to provide any form of remuneration or incentive to, a licensed Prescriber.</w:t>
      </w:r>
    </w:p>
    <w:p w14:paraId="42DA972D" w14:textId="22B6858E" w:rsidR="00C95C7F" w:rsidRPr="001115C5" w:rsidRDefault="000E6B96" w:rsidP="00064063">
      <w:pPr>
        <w:pStyle w:val="ListParagraph"/>
        <w:numPr>
          <w:ilvl w:val="1"/>
          <w:numId w:val="8"/>
        </w:numPr>
        <w:spacing w:after="240"/>
        <w:ind w:left="792"/>
        <w:contextualSpacing w:val="0"/>
        <w:rPr>
          <w:rFonts w:ascii="Helvetica Neue" w:hAnsi="Helvetica Neue" w:cs="Arial"/>
        </w:rPr>
      </w:pPr>
      <w:r w:rsidRPr="001115C5">
        <w:rPr>
          <w:rFonts w:ascii="Helvetica Neue" w:hAnsi="Helvetica Neue" w:cs="Arial"/>
        </w:rPr>
        <w:t>Advertise or market services for a licensed Prescriber of Cannabis or Cannabis Products.</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0E6B96" w:rsidRPr="001115C5" w14:paraId="6202B128" w14:textId="77777777" w:rsidTr="00EB22B8">
        <w:tc>
          <w:tcPr>
            <w:tcW w:w="10188" w:type="dxa"/>
            <w:shd w:val="clear" w:color="auto" w:fill="D9D9D9" w:themeFill="background1" w:themeFillShade="D9"/>
          </w:tcPr>
          <w:p w14:paraId="12D07419" w14:textId="5978988C" w:rsidR="000E6B96" w:rsidRPr="001115C5" w:rsidRDefault="000E6B96" w:rsidP="00EB22B8">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xml:space="preserve">: Pursuant to California Bus. &amp; Prof. Code §500, </w:t>
            </w:r>
            <w:r w:rsidRPr="001115C5">
              <w:rPr>
                <w:rFonts w:ascii="Helvetica Neue" w:eastAsia="Helvetica Neue" w:hAnsi="Helvetica Neue" w:cs="Arial"/>
                <w:i/>
                <w:iCs/>
              </w:rPr>
              <w:t>et seq</w:t>
            </w:r>
            <w:r w:rsidRPr="001115C5">
              <w:rPr>
                <w:rFonts w:ascii="Helvetica Neue" w:eastAsia="Helvetica Neue" w:hAnsi="Helvetica Neue" w:cs="Arial"/>
              </w:rPr>
              <w:t xml:space="preserve">, physicians and other health care practitioners are already prohibited from engaging in certain activities that could pose a conflict of interest. For instance, pursuant to Cal. B&amp;P § 650(a), a health care </w:t>
            </w:r>
            <w:r w:rsidR="0035266B" w:rsidRPr="001115C5">
              <w:rPr>
                <w:rFonts w:ascii="Helvetica Neue" w:eastAsia="Helvetica Neue" w:hAnsi="Helvetica Neue" w:cs="Arial"/>
              </w:rPr>
              <w:t>practitioner</w:t>
            </w:r>
            <w:r w:rsidRPr="001115C5">
              <w:rPr>
                <w:rFonts w:ascii="Helvetica Neue" w:eastAsia="Helvetica Neue" w:hAnsi="Helvetica Neue" w:cs="Arial"/>
              </w:rPr>
              <w:t xml:space="preserve"> may not “accept any rebate, refund, commission, preference, patronage dividend, discount, or other consideration, whether in the form of money or otherwise, as compensation or inducement for referring patients, clients, or customers to any person.” Additional conflict of interest provisions, including limitations on advertising, are found within California Bus. &amp; Prof. Code §500, </w:t>
            </w:r>
            <w:r w:rsidRPr="001115C5">
              <w:rPr>
                <w:rFonts w:ascii="Helvetica Neue" w:eastAsia="Helvetica Neue" w:hAnsi="Helvetica Neue" w:cs="Arial"/>
                <w:i/>
                <w:iCs/>
              </w:rPr>
              <w:t>et seq</w:t>
            </w:r>
            <w:r w:rsidRPr="001115C5">
              <w:rPr>
                <w:rFonts w:ascii="Helvetica Neue" w:eastAsia="Helvetica Neue" w:hAnsi="Helvetica Neue" w:cs="Arial"/>
              </w:rPr>
              <w:t>. This section or the model ordinance extends these prohibitions on conflicts of interest to Cannabis Retailers as well.</w:t>
            </w:r>
          </w:p>
        </w:tc>
      </w:tr>
    </w:tbl>
    <w:p w14:paraId="5DD1B186" w14:textId="77777777" w:rsidR="00C14DD9" w:rsidRPr="001115C5" w:rsidRDefault="000E6B96" w:rsidP="00064063">
      <w:pPr>
        <w:pStyle w:val="ListParagraph"/>
        <w:numPr>
          <w:ilvl w:val="0"/>
          <w:numId w:val="8"/>
        </w:numPr>
        <w:spacing w:before="480" w:after="240"/>
        <w:contextualSpacing w:val="0"/>
        <w:rPr>
          <w:rFonts w:ascii="Helvetica Neue" w:hAnsi="Helvetica Neue" w:cs="Arial"/>
        </w:rPr>
      </w:pPr>
      <w:r w:rsidRPr="001115C5">
        <w:rPr>
          <w:rFonts w:ascii="Helvetica Neue" w:hAnsi="Helvetica Neue" w:cs="Arial"/>
          <w:b/>
          <w:bCs/>
        </w:rPr>
        <w:t>Firearms Not Allowed</w:t>
      </w:r>
      <w:r w:rsidRPr="001115C5">
        <w:rPr>
          <w:rFonts w:ascii="Helvetica Neue" w:hAnsi="Helvetica Neue" w:cs="Arial"/>
        </w:rPr>
        <w:t>. Weapons and firearms are prohibited on the premises of</w:t>
      </w:r>
      <w:r w:rsidR="0035266B" w:rsidRPr="001115C5">
        <w:rPr>
          <w:rFonts w:ascii="Helvetica Neue" w:hAnsi="Helvetica Neue" w:cs="Arial"/>
        </w:rPr>
        <w:t xml:space="preserve"> </w:t>
      </w:r>
      <w:r w:rsidRPr="001115C5">
        <w:rPr>
          <w:rFonts w:ascii="Helvetica Neue" w:hAnsi="Helvetica Neue" w:cs="Arial"/>
        </w:rPr>
        <w:t>Cannabis Retailer. This provision does not apply to public officials engaged in official duty or uniformed security personnel hired or contracted by the Cannabis Retailer.</w:t>
      </w:r>
    </w:p>
    <w:p w14:paraId="65D89CF6" w14:textId="2CE7E313" w:rsidR="000E6B96" w:rsidRPr="001115C5" w:rsidRDefault="000E6B96" w:rsidP="00064063">
      <w:pPr>
        <w:pStyle w:val="ListParagraph"/>
        <w:numPr>
          <w:ilvl w:val="0"/>
          <w:numId w:val="8"/>
        </w:numPr>
        <w:spacing w:after="240"/>
        <w:contextualSpacing w:val="0"/>
        <w:rPr>
          <w:rFonts w:ascii="Helvetica Neue" w:hAnsi="Helvetica Neue" w:cs="Arial"/>
        </w:rPr>
      </w:pPr>
      <w:r w:rsidRPr="001115C5">
        <w:rPr>
          <w:rFonts w:ascii="Helvetica Neue" w:hAnsi="Helvetica Neue" w:cs="Arial"/>
          <w:b/>
          <w:bCs/>
        </w:rPr>
        <w:t>Mandatory Responsible Cannabis Retailing Education</w:t>
      </w:r>
      <w:r w:rsidRPr="001115C5">
        <w:rPr>
          <w:rFonts w:ascii="Helvetica Neue" w:hAnsi="Helvetica Neue" w:cs="Arial"/>
        </w:rPr>
        <w:t xml:space="preserve">. All employees involved in sales of Cannabis or Cannabis Products or management of stores or inventory must undergo at least 8 hours of training, at least four of which must be on health effects and safer use, using a curriculum approved by the </w:t>
      </w:r>
      <w:r w:rsidRPr="001115C5">
        <w:rPr>
          <w:rFonts w:ascii="Helvetica Neue" w:hAnsi="Helvetica Neue" w:cs="Arial"/>
          <w:color w:val="FF0000"/>
        </w:rPr>
        <w:lastRenderedPageBreak/>
        <w:t>Department</w:t>
      </w:r>
      <w:r w:rsidRPr="001115C5">
        <w:rPr>
          <w:rFonts w:ascii="Helvetica Neue" w:hAnsi="Helvetica Neue" w:cs="Arial"/>
        </w:rPr>
        <w:t xml:space="preserve">. The training shall include at least four hours on health effects and safer use, including without limitation hazards associated with Cannabis use, hazards of use during pregnancy and lactation, motor vehicle use, cognitive effects and mental illness; safer and appropriate dosages, especially for initial use and for edibles; delayed effects of Edible Cannabis Products; hazards of early initiation and of intensive use by youth; storage to protect children; age-verification procedures; referring to licensed healthcare providers for any medical advice; and smoke-free air. Separate trainings should be developed for management and </w:t>
      </w:r>
      <w:r w:rsidR="00C14DD9" w:rsidRPr="001115C5">
        <w:rPr>
          <w:rFonts w:ascii="Helvetica Neue" w:hAnsi="Helvetica Neue" w:cs="Arial"/>
        </w:rPr>
        <w:t>salesclerk</w:t>
      </w:r>
      <w:r w:rsidRPr="001115C5">
        <w:rPr>
          <w:rFonts w:ascii="Helvetica Neue" w:hAnsi="Helvetica Neue" w:cs="Arial"/>
        </w:rPr>
        <w:t xml:space="preserve"> roles. The </w:t>
      </w:r>
      <w:r w:rsidRPr="001115C5">
        <w:rPr>
          <w:rFonts w:ascii="Helvetica Neue" w:hAnsi="Helvetica Neue" w:cs="Arial"/>
          <w:color w:val="FF0000"/>
        </w:rPr>
        <w:t>Department</w:t>
      </w:r>
      <w:r w:rsidRPr="001115C5">
        <w:rPr>
          <w:rFonts w:ascii="Helvetica Neue" w:hAnsi="Helvetica Neue" w:cs="Arial"/>
        </w:rPr>
        <w:t xml:space="preserve"> shall create and/or approve curriculum within </w:t>
      </w:r>
      <w:r w:rsidRPr="00257046">
        <w:rPr>
          <w:rFonts w:ascii="Helvetica Neue" w:hAnsi="Helvetica Neue" w:cs="Arial"/>
        </w:rPr>
        <w:t>twelve (12) months</w:t>
      </w:r>
      <w:r w:rsidRPr="001115C5">
        <w:rPr>
          <w:rFonts w:ascii="Helvetica Neue" w:hAnsi="Helvetica Neue" w:cs="Arial"/>
        </w:rPr>
        <w:t xml:space="preserve"> of the date of this ordinance. All managers, and dispensary employees who directly communicate with consumers, should be trained within </w:t>
      </w:r>
      <w:r w:rsidR="00257046" w:rsidRPr="00257046">
        <w:rPr>
          <w:rFonts w:ascii="Helvetica Neue" w:hAnsi="Helvetica Neue" w:cs="Arial"/>
        </w:rPr>
        <w:t>six (</w:t>
      </w:r>
      <w:r w:rsidRPr="00257046">
        <w:rPr>
          <w:rFonts w:ascii="Helvetica Neue" w:hAnsi="Helvetica Neue" w:cs="Arial"/>
        </w:rPr>
        <w:t>6</w:t>
      </w:r>
      <w:r w:rsidR="00257046" w:rsidRPr="00257046">
        <w:rPr>
          <w:rFonts w:ascii="Helvetica Neue" w:hAnsi="Helvetica Neue" w:cs="Arial"/>
        </w:rPr>
        <w:t>)</w:t>
      </w:r>
      <w:r w:rsidRPr="00257046">
        <w:rPr>
          <w:rFonts w:ascii="Helvetica Neue" w:hAnsi="Helvetica Neue" w:cs="Arial"/>
        </w:rPr>
        <w:t xml:space="preserve"> months</w:t>
      </w:r>
      <w:r w:rsidRPr="001115C5">
        <w:rPr>
          <w:rFonts w:ascii="Helvetica Neue" w:hAnsi="Helvetica Neue" w:cs="Arial"/>
        </w:rPr>
        <w:t xml:space="preserve"> of the availability of an approved curriculum. The </w:t>
      </w:r>
      <w:r w:rsidRPr="001115C5">
        <w:rPr>
          <w:rFonts w:ascii="Helvetica Neue" w:hAnsi="Helvetica Neue" w:cs="Arial"/>
          <w:color w:val="FF0000"/>
        </w:rPr>
        <w:t>Department</w:t>
      </w:r>
      <w:r w:rsidRPr="001115C5">
        <w:rPr>
          <w:rFonts w:ascii="Helvetica Neue" w:hAnsi="Helvetica Neue" w:cs="Arial"/>
        </w:rPr>
        <w:t xml:space="preserve"> may create requirements for continuing education and/or ongoing training.</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0E6B96" w:rsidRPr="001115C5" w14:paraId="47218454" w14:textId="77777777" w:rsidTr="00EB22B8">
        <w:tc>
          <w:tcPr>
            <w:tcW w:w="10188" w:type="dxa"/>
            <w:shd w:val="clear" w:color="auto" w:fill="D9D9D9" w:themeFill="background1" w:themeFillShade="D9"/>
          </w:tcPr>
          <w:p w14:paraId="062EA94C" w14:textId="0C698C55" w:rsidR="000E6B96" w:rsidRPr="001115C5" w:rsidRDefault="000E6B96" w:rsidP="00EB22B8">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If the jurisdiction allows Delivery to the Consumer, or the current state regulations allowing Delivery to all jurisdictions is upheld by the courts, then subsections (E)(4), (5), (6) and (9) should also apply to employees involved in Delivery to the Consumer. In regard to training, it may take time and oversight to ensure the quality of these programs.</w:t>
            </w:r>
          </w:p>
        </w:tc>
      </w:tr>
    </w:tbl>
    <w:p w14:paraId="3D47CA74" w14:textId="61500576" w:rsidR="000E6B96" w:rsidRPr="001115C5" w:rsidRDefault="000E6B96" w:rsidP="00064063">
      <w:pPr>
        <w:pStyle w:val="ListParagraph"/>
        <w:numPr>
          <w:ilvl w:val="0"/>
          <w:numId w:val="8"/>
        </w:numPr>
        <w:spacing w:before="480" w:after="240"/>
        <w:ind w:left="450" w:hanging="450"/>
        <w:rPr>
          <w:rFonts w:ascii="Helvetica Neue" w:hAnsi="Helvetica Neue" w:cs="Arial"/>
        </w:rPr>
      </w:pPr>
      <w:r w:rsidRPr="001115C5">
        <w:rPr>
          <w:rFonts w:ascii="Helvetica Neue" w:hAnsi="Helvetica Neue" w:cs="Arial"/>
          <w:b/>
          <w:bCs/>
        </w:rPr>
        <w:t>Hours of Operation</w:t>
      </w:r>
      <w:r w:rsidRPr="001115C5">
        <w:rPr>
          <w:rFonts w:ascii="Helvetica Neue" w:hAnsi="Helvetica Neue" w:cs="Arial"/>
        </w:rPr>
        <w:t xml:space="preserve">. It is unlawful for any Person operating a Cannabis Retailing location under this </w:t>
      </w:r>
      <w:r w:rsidR="008B35D9" w:rsidRPr="001115C5">
        <w:rPr>
          <w:rFonts w:ascii="Helvetica Neue" w:hAnsi="Helvetica Neue" w:cs="Arial"/>
          <w:color w:val="FF0000"/>
        </w:rPr>
        <w:t>[Article/Chapter]</w:t>
      </w:r>
      <w:r w:rsidRPr="001115C5">
        <w:rPr>
          <w:rFonts w:ascii="Helvetica Neue" w:hAnsi="Helvetica Neue" w:cs="Arial"/>
        </w:rPr>
        <w:t xml:space="preserve"> to permit any breach of peace or any disturbance of public order or decorum therein by any tumultuous, riotous or disorderly conduct, or otherwise, or to permit such retailing operations to remain open, or patrons to remain upon the premises, between the hours of 8 p.m. and 6 a.m.</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0E6B96" w:rsidRPr="001115C5" w14:paraId="6E5F44FF" w14:textId="77777777" w:rsidTr="00EB22B8">
        <w:tc>
          <w:tcPr>
            <w:tcW w:w="10188" w:type="dxa"/>
            <w:shd w:val="clear" w:color="auto" w:fill="D9D9D9" w:themeFill="background1" w:themeFillShade="D9"/>
          </w:tcPr>
          <w:p w14:paraId="40F411E5" w14:textId="16151D99" w:rsidR="000E6B96" w:rsidRPr="001115C5" w:rsidRDefault="000E6B96" w:rsidP="00EB22B8">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xml:space="preserve">: State regulations (cite) set the hours from 6am to 10pm. </w:t>
            </w:r>
            <w:r w:rsidR="008B35D9" w:rsidRPr="001115C5">
              <w:rPr>
                <w:rFonts w:ascii="Helvetica Neue" w:eastAsia="Helvetica Neue" w:hAnsi="Helvetica Neue" w:cs="Arial"/>
              </w:rPr>
              <w:t>[City/County]</w:t>
            </w:r>
            <w:r w:rsidRPr="001115C5">
              <w:rPr>
                <w:rFonts w:ascii="Helvetica Neue" w:eastAsia="Helvetica Neue" w:hAnsi="Helvetica Neue" w:cs="Arial"/>
              </w:rPr>
              <w:t xml:space="preserve"> may choose to make more narrow hours of operation but may not expand hours beyond the state regulations.</w:t>
            </w:r>
          </w:p>
        </w:tc>
      </w:tr>
    </w:tbl>
    <w:p w14:paraId="4539440A" w14:textId="4B52C2FA" w:rsidR="000E6B96" w:rsidRPr="001115C5" w:rsidRDefault="000E6B96" w:rsidP="00064063">
      <w:pPr>
        <w:pStyle w:val="ListParagraph"/>
        <w:numPr>
          <w:ilvl w:val="0"/>
          <w:numId w:val="8"/>
        </w:numPr>
        <w:spacing w:before="480" w:after="240"/>
        <w:ind w:left="450" w:hanging="450"/>
        <w:rPr>
          <w:rFonts w:ascii="Helvetica Neue" w:hAnsi="Helvetica Neue" w:cs="Arial"/>
        </w:rPr>
      </w:pPr>
      <w:r w:rsidRPr="001115C5">
        <w:rPr>
          <w:rFonts w:ascii="Helvetica Neue" w:hAnsi="Helvetica Neue" w:cs="Arial"/>
          <w:b/>
          <w:bCs/>
        </w:rPr>
        <w:t>No On-Site Consumption</w:t>
      </w:r>
      <w:r w:rsidRPr="001115C5">
        <w:rPr>
          <w:rFonts w:ascii="Helvetica Neue" w:hAnsi="Helvetica Neue" w:cs="Arial"/>
        </w:rPr>
        <w:t>. No Cannabis Product shall be smoked, ingested or otherwise consumed on the premises of a permit holder or in the public right-of-way within twenty-five feet of the entrance to or exit from a Cannabis Retailer’s premises. Cannabis Retailers shall post a sign near such entrances and exits providing notice of this policy.</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0E6B96" w:rsidRPr="001115C5" w14:paraId="6549F32F" w14:textId="77777777" w:rsidTr="00EB22B8">
        <w:tc>
          <w:tcPr>
            <w:tcW w:w="10188" w:type="dxa"/>
            <w:shd w:val="clear" w:color="auto" w:fill="D9D9D9" w:themeFill="background1" w:themeFillShade="D9"/>
          </w:tcPr>
          <w:p w14:paraId="4BB2BF11" w14:textId="4E312798" w:rsidR="000E6B96" w:rsidRPr="001115C5" w:rsidRDefault="000E6B96" w:rsidP="000E6B96">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xml:space="preserve">: Prohibiting on-site consumption helps to a) respect the occupational safety and health rights of employees not to be exposed to secondhand smoke and b) helps to prevent the </w:t>
            </w:r>
            <w:r w:rsidRPr="001115C5">
              <w:rPr>
                <w:rFonts w:ascii="Helvetica Neue" w:eastAsia="Helvetica Neue" w:hAnsi="Helvetica Neue" w:cs="Arial"/>
              </w:rPr>
              <w:lastRenderedPageBreak/>
              <w:t>social “normalization” or acceptability of Cannabis consumption, and in particular smoked or vaped products. Making consumption of tobacco less socially acceptable through smoke-free air has been a major public health victory of the 21st century, and a profound lesson from tobacco control. We recommend prohibition of on-site consumption. The absence of “smoke-filled cannabis bars” helps combat youth perception that Cannabis consumption is a community norm, a perception which significantly influences their likelihood of initiating use.</w:t>
            </w:r>
            <w:r w:rsidR="00510126">
              <w:rPr>
                <w:rStyle w:val="FootnoteReference"/>
                <w:rFonts w:ascii="Helvetica Neue" w:eastAsia="Helvetica Neue" w:hAnsi="Helvetica Neue" w:cs="Arial"/>
              </w:rPr>
              <w:footnoteReference w:id="80"/>
            </w:r>
            <w:r w:rsidRPr="001115C5">
              <w:rPr>
                <w:rFonts w:ascii="Helvetica Neue" w:eastAsia="Helvetica Neue" w:hAnsi="Helvetica Neue" w:cs="Arial"/>
              </w:rPr>
              <w:t xml:space="preserve"> Additionally, exposure to Cannabis smoke – which contains many of the same carcinogens and chemicals found in tobacco smoke – may be hazardous to health. This exposure risk includes exposure to emissions from allegedly “safer” products like vapes and dabs.</w:t>
            </w:r>
          </w:p>
          <w:p w14:paraId="1EFC5D73" w14:textId="5BEAF887" w:rsidR="000E6B96" w:rsidRPr="001115C5" w:rsidRDefault="000E6B96" w:rsidP="002530E8">
            <w:pPr>
              <w:spacing w:before="120" w:after="120" w:line="360" w:lineRule="auto"/>
              <w:rPr>
                <w:rFonts w:ascii="Helvetica Neue" w:eastAsia="Helvetica Neue" w:hAnsi="Helvetica Neue" w:cs="Arial"/>
              </w:rPr>
            </w:pPr>
            <w:r w:rsidRPr="001115C5">
              <w:rPr>
                <w:rFonts w:ascii="Helvetica Neue" w:eastAsia="Helvetica Neue" w:hAnsi="Helvetica Neue" w:cs="Arial"/>
              </w:rPr>
              <w:t>In a 2018 study,</w:t>
            </w:r>
            <w:r w:rsidR="005B3A68" w:rsidRPr="001115C5">
              <w:rPr>
                <w:rStyle w:val="FootnoteReference"/>
                <w:rFonts w:ascii="Helvetica Neue" w:eastAsia="Helvetica Neue" w:hAnsi="Helvetica Neue" w:cs="Arial"/>
              </w:rPr>
              <w:footnoteReference w:id="81"/>
            </w:r>
            <w:r w:rsidRPr="001115C5">
              <w:rPr>
                <w:rFonts w:ascii="Helvetica Neue" w:eastAsia="Helvetica Neue" w:hAnsi="Helvetica Neue" w:cs="Arial"/>
              </w:rPr>
              <w:t xml:space="preserve"> UCSF researchers measured the concentrations of airborne fine particles (PM2.5) and cannabinoids at an indoor Cannabis event where dabbing and vaporizing were the sole cause of Cannabis emissions. Average particulate matter ranged between 200-600 micrograms per m3 and peak concentrations were over 1,600 micrograms per m3 – concentrations this high are seen in extreme air pollution events like wildfires.</w:t>
            </w:r>
          </w:p>
          <w:p w14:paraId="6E8C03CA" w14:textId="1DED175F" w:rsidR="000E6B96" w:rsidRPr="001115C5" w:rsidRDefault="000E6B96" w:rsidP="002530E8">
            <w:pPr>
              <w:spacing w:before="120" w:after="120" w:line="360" w:lineRule="auto"/>
              <w:rPr>
                <w:rFonts w:ascii="Helvetica Neue" w:eastAsia="Helvetica Neue" w:hAnsi="Helvetica Neue" w:cs="Arial"/>
              </w:rPr>
            </w:pPr>
            <w:r w:rsidRPr="001115C5">
              <w:rPr>
                <w:rFonts w:ascii="Helvetica Neue" w:eastAsia="Helvetica Neue" w:hAnsi="Helvetica Neue" w:cs="Arial"/>
              </w:rPr>
              <w:t xml:space="preserve">However, given the restrictions in state and local law, there may be few places available for some adults to legally consume Cannabis Products. Local governments should be careful not to create new waves of incarceration for consuming cannabis and can work with landlords of multi-unit housing to establish designated outdoor smoking areas. While not our recommendation, under state law local governments can allow on-site consumption (whether smoking and/or ingestion) on the premises of certain Cannabis Retailers. If so, such on-site consumption must meet minimum state requirements, including: (1) access to consumption area must be restricted to persons 21 years of age and older; (2) Cannabis consumption must not </w:t>
            </w:r>
            <w:r w:rsidR="009B6E6B">
              <w:rPr>
                <w:rFonts w:ascii="Helvetica Neue" w:eastAsia="Helvetica Neue" w:hAnsi="Helvetica Neue" w:cs="Arial"/>
              </w:rPr>
              <w:t xml:space="preserve">be </w:t>
            </w:r>
            <w:r w:rsidRPr="001115C5">
              <w:rPr>
                <w:rFonts w:ascii="Helvetica Neue" w:eastAsia="Helvetica Neue" w:hAnsi="Helvetica Neue" w:cs="Arial"/>
              </w:rPr>
              <w:t xml:space="preserve">visible from any public place or any nonage-restricted area; and (3) sale or consumption of alcohol or tobacco is not </w:t>
            </w:r>
            <w:r w:rsidRPr="001115C5">
              <w:rPr>
                <w:rFonts w:ascii="Helvetica Neue" w:eastAsia="Helvetica Neue" w:hAnsi="Helvetica Neue" w:cs="Arial"/>
              </w:rPr>
              <w:lastRenderedPageBreak/>
              <w:t>allowed on the premises (California Business &amp; Professions Code section 26200(g)(3)). Consumption can also be limited to products which are not smoked or vaped.</w:t>
            </w:r>
          </w:p>
          <w:p w14:paraId="435D170C" w14:textId="0C7A5FF6" w:rsidR="000E6B96" w:rsidRPr="001115C5" w:rsidRDefault="000E6B96" w:rsidP="002530E8">
            <w:pPr>
              <w:spacing w:before="120" w:after="120" w:line="360" w:lineRule="auto"/>
              <w:rPr>
                <w:rFonts w:ascii="Helvetica Neue" w:eastAsia="Helvetica Neue" w:hAnsi="Helvetica Neue" w:cs="Arial"/>
              </w:rPr>
            </w:pPr>
            <w:r w:rsidRPr="001115C5">
              <w:rPr>
                <w:rFonts w:ascii="Helvetica Neue" w:eastAsia="Helvetica Neue" w:hAnsi="Helvetica Neue" w:cs="Arial"/>
              </w:rPr>
              <w:t>The provision disallowing entertainment disallows marijuana clubs and seeks to reduce social “normalization” of Cannabis consumption while permitting its sale.</w:t>
            </w:r>
          </w:p>
        </w:tc>
      </w:tr>
    </w:tbl>
    <w:p w14:paraId="05046795" w14:textId="77777777" w:rsidR="005B3A68" w:rsidRPr="001115C5" w:rsidRDefault="000E6B96" w:rsidP="00064063">
      <w:pPr>
        <w:pStyle w:val="ListParagraph"/>
        <w:numPr>
          <w:ilvl w:val="0"/>
          <w:numId w:val="8"/>
        </w:numPr>
        <w:spacing w:before="480" w:after="240"/>
        <w:ind w:left="446" w:hanging="446"/>
        <w:contextualSpacing w:val="0"/>
        <w:rPr>
          <w:rFonts w:ascii="Helvetica Neue" w:hAnsi="Helvetica Neue" w:cs="Arial"/>
        </w:rPr>
      </w:pPr>
      <w:r w:rsidRPr="001115C5">
        <w:rPr>
          <w:rFonts w:ascii="Helvetica Neue" w:hAnsi="Helvetica Neue" w:cs="Arial"/>
          <w:b/>
          <w:bCs/>
        </w:rPr>
        <w:lastRenderedPageBreak/>
        <w:t>No On-Site Consumption of Alcohol</w:t>
      </w:r>
      <w:r w:rsidRPr="001115C5">
        <w:rPr>
          <w:rFonts w:ascii="Helvetica Neue" w:hAnsi="Helvetica Neue" w:cs="Arial"/>
        </w:rPr>
        <w:t xml:space="preserve">. Alcoholic beverages must not be consumed on the premises of a Cannabis Retailer. Cannabis Retailers may prohibit patrons from entering or remaining on the premises if they are visibly in possession of </w:t>
      </w:r>
      <w:r w:rsidRPr="001115C5">
        <w:rPr>
          <w:rFonts w:ascii="Helvetica Neue" w:hAnsi="Helvetica Neue" w:cs="Arial"/>
        </w:rPr>
        <w:tab/>
        <w:t>an open container of alcohol and/or are consuming alcoholic beverages and/or are under the noticeable influence of an intoxicating substance.</w:t>
      </w:r>
    </w:p>
    <w:p w14:paraId="0A42564F" w14:textId="366B52C5" w:rsidR="005B3A68" w:rsidRPr="001115C5" w:rsidRDefault="000E6B96" w:rsidP="00064063">
      <w:pPr>
        <w:pStyle w:val="ListParagraph"/>
        <w:numPr>
          <w:ilvl w:val="0"/>
          <w:numId w:val="8"/>
        </w:numPr>
        <w:spacing w:after="240"/>
        <w:ind w:left="446" w:hanging="446"/>
        <w:contextualSpacing w:val="0"/>
        <w:rPr>
          <w:rFonts w:ascii="Helvetica Neue" w:hAnsi="Helvetica Neue" w:cs="Arial"/>
        </w:rPr>
      </w:pPr>
      <w:r w:rsidRPr="001115C5">
        <w:rPr>
          <w:rFonts w:ascii="Helvetica Neue" w:hAnsi="Helvetica Neue" w:cs="Arial"/>
          <w:b/>
          <w:bCs/>
        </w:rPr>
        <w:t>No On-Site Entertainment</w:t>
      </w:r>
      <w:r w:rsidR="005B3A68" w:rsidRPr="001115C5">
        <w:rPr>
          <w:rFonts w:ascii="Helvetica Neue" w:hAnsi="Helvetica Neue" w:cs="Arial"/>
        </w:rPr>
        <w:t>.</w:t>
      </w:r>
      <w:r w:rsidRPr="001115C5">
        <w:rPr>
          <w:rFonts w:ascii="Helvetica Neue" w:hAnsi="Helvetica Neue" w:cs="Arial"/>
        </w:rPr>
        <w:t xml:space="preserve"> No live music, shows, dancing, video gaming or billiards or other entertainment other than recorded background music should occur at a Cannabis Retailer’s premises. No Cannabis Retailer may use outdoor sound systems or speakers to play music or other entertainment outside the premises.</w:t>
      </w:r>
    </w:p>
    <w:p w14:paraId="508B0F37" w14:textId="1FDF7D6A" w:rsidR="000E6B96" w:rsidRPr="001115C5" w:rsidRDefault="000E6B96" w:rsidP="00064063">
      <w:pPr>
        <w:pStyle w:val="ListParagraph"/>
        <w:numPr>
          <w:ilvl w:val="0"/>
          <w:numId w:val="8"/>
        </w:numPr>
        <w:spacing w:after="240"/>
        <w:ind w:left="446" w:hanging="446"/>
        <w:contextualSpacing w:val="0"/>
        <w:rPr>
          <w:rFonts w:ascii="Helvetica Neue" w:hAnsi="Helvetica Neue" w:cs="Arial"/>
        </w:rPr>
      </w:pPr>
      <w:r w:rsidRPr="001115C5">
        <w:rPr>
          <w:rFonts w:ascii="Helvetica Neue" w:hAnsi="Helvetica Neue" w:cs="Arial"/>
          <w:b/>
          <w:bCs/>
        </w:rPr>
        <w:t>On-Site Sales</w:t>
      </w:r>
      <w:r w:rsidRPr="001115C5">
        <w:rPr>
          <w:rFonts w:ascii="Helvetica Neue" w:hAnsi="Helvetica Neue" w:cs="Arial"/>
        </w:rPr>
        <w:t xml:space="preserve">. Unless State law requires the </w:t>
      </w:r>
      <w:r w:rsidR="008B35D9" w:rsidRPr="001115C5">
        <w:rPr>
          <w:rFonts w:ascii="Helvetica Neue" w:hAnsi="Helvetica Neue" w:cs="Arial"/>
          <w:color w:val="FF0000"/>
        </w:rPr>
        <w:t>[City/County]</w:t>
      </w:r>
      <w:r w:rsidRPr="001115C5">
        <w:rPr>
          <w:rFonts w:ascii="Helvetica Neue" w:hAnsi="Helvetica Neue" w:cs="Arial"/>
        </w:rPr>
        <w:t xml:space="preserve"> to allow Delivery to the Consumer, all sales and dispensing of Cannabis and Cannabis Products shall be conducted in-person on the Premises of the Cannabis Retailer. Cannabis Retailing by means of Internet ordering or telephone ordering in conjunction with Delivery to the Consumer is prohibited. Delivery within the </w:t>
      </w:r>
      <w:r w:rsidR="008B35D9" w:rsidRPr="001115C5">
        <w:rPr>
          <w:rFonts w:ascii="Helvetica Neue" w:hAnsi="Helvetica Neue" w:cs="Arial"/>
          <w:color w:val="FF0000"/>
        </w:rPr>
        <w:t>[City/County]</w:t>
      </w:r>
      <w:r w:rsidRPr="001115C5">
        <w:rPr>
          <w:rFonts w:ascii="Helvetica Neue" w:hAnsi="Helvetica Neue" w:cs="Arial"/>
        </w:rPr>
        <w:t xml:space="preserve"> from retailers licensed outside the </w:t>
      </w:r>
      <w:r w:rsidR="008B35D9" w:rsidRPr="001115C5">
        <w:rPr>
          <w:rFonts w:ascii="Helvetica Neue" w:hAnsi="Helvetica Neue" w:cs="Arial"/>
          <w:color w:val="FF0000"/>
        </w:rPr>
        <w:t>[City/County]</w:t>
      </w:r>
      <w:r w:rsidRPr="001115C5">
        <w:rPr>
          <w:rFonts w:ascii="Helvetica Neue" w:hAnsi="Helvetica Neue" w:cs="Arial"/>
        </w:rPr>
        <w:t xml:space="preserve"> is not permitted unless State law or regulation requires otherwise. This section does not prohibit transportation of Cannabis or Cannabis Products on public roads by a state-licensee transporting Cannabis or Cannabis products in compliance with California Business &amp; Professions Code, Division 10.</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0E6B96" w:rsidRPr="001115C5" w14:paraId="5B9F6965" w14:textId="77777777" w:rsidTr="00EB22B8">
        <w:tc>
          <w:tcPr>
            <w:tcW w:w="10188" w:type="dxa"/>
            <w:shd w:val="clear" w:color="auto" w:fill="D9D9D9" w:themeFill="background1" w:themeFillShade="D9"/>
          </w:tcPr>
          <w:p w14:paraId="365B55B0" w14:textId="3C6BF0F9" w:rsidR="000E6B96" w:rsidRPr="001115C5" w:rsidRDefault="000E6B96" w:rsidP="000E6B96">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Prohibiting Delivery to the Consumer aids in enforcement by ensuring that communities can conduct regular inspections at a Cannabis Retailer’s place of business. Furthermore, home Delivery has been associated with higher rates of youth access to alcohol.</w:t>
            </w:r>
            <w:r w:rsidR="005B3A68" w:rsidRPr="001115C5">
              <w:rPr>
                <w:rStyle w:val="FootnoteReference"/>
                <w:rFonts w:ascii="Helvetica Neue" w:eastAsia="Helvetica Neue" w:hAnsi="Helvetica Neue" w:cs="Arial"/>
              </w:rPr>
              <w:footnoteReference w:id="82"/>
            </w:r>
            <w:r w:rsidRPr="001115C5">
              <w:rPr>
                <w:rFonts w:ascii="Helvetica Neue" w:eastAsia="Helvetica Neue" w:hAnsi="Helvetica Neue" w:cs="Arial"/>
              </w:rPr>
              <w:t xml:space="preserve"> Section 843 of the Federal Controlled Substances Act (21 USC § 843(b)) prohibits Internet sale of Schedule I substances.</w:t>
            </w:r>
          </w:p>
          <w:p w14:paraId="68F31A1A" w14:textId="04AAEFBC" w:rsidR="000E6B96" w:rsidRPr="001115C5" w:rsidRDefault="000E6B96" w:rsidP="002530E8">
            <w:pPr>
              <w:spacing w:before="120" w:after="120" w:line="360" w:lineRule="auto"/>
              <w:rPr>
                <w:rFonts w:ascii="Helvetica Neue" w:eastAsia="Helvetica Neue" w:hAnsi="Helvetica Neue" w:cs="Arial"/>
              </w:rPr>
            </w:pPr>
            <w:r w:rsidRPr="001115C5">
              <w:rPr>
                <w:rFonts w:ascii="Helvetica Neue" w:eastAsia="Helvetica Neue" w:hAnsi="Helvetica Neue" w:cs="Arial"/>
              </w:rPr>
              <w:lastRenderedPageBreak/>
              <w:t>Although Prop 64 promised to retain local control so as to allow local jurisdictions to ban all forms of Cannabis businesses, including Delivery, the State ha</w:t>
            </w:r>
            <w:r w:rsidR="00203AE0">
              <w:rPr>
                <w:rFonts w:ascii="Helvetica Neue" w:eastAsia="Helvetica Neue" w:hAnsi="Helvetica Neue" w:cs="Arial"/>
              </w:rPr>
              <w:t>d</w:t>
            </w:r>
            <w:r w:rsidRPr="001115C5">
              <w:rPr>
                <w:rFonts w:ascii="Helvetica Neue" w:eastAsia="Helvetica Neue" w:hAnsi="Helvetica Neue" w:cs="Arial"/>
              </w:rPr>
              <w:t xml:space="preserve"> determined that a State -licensed Delivery business may deliver anywhere in the state, regardless of local bans. Many local jurisdictions have joined in a lawsuit demanding the State recognize local control of Delivery</w:t>
            </w:r>
            <w:r w:rsidR="00203AE0">
              <w:rPr>
                <w:rFonts w:ascii="Helvetica Neue" w:eastAsia="Helvetica Neue" w:hAnsi="Helvetica Neue" w:cs="Arial"/>
              </w:rPr>
              <w:t>. In 2020 in the course of the lawsuit, the state changed their opposition to affirm that while they allow their licensees to deliver anywhere, that does not mean that local government cannot prohibit it</w:t>
            </w:r>
            <w:r w:rsidR="004A7F31">
              <w:rPr>
                <w:rFonts w:ascii="Helvetica Neue" w:eastAsia="Helvetica Neue" w:hAnsi="Helvetica Neue" w:cs="Arial"/>
              </w:rPr>
              <w:t xml:space="preserve">. </w:t>
            </w:r>
            <w:r w:rsidRPr="001115C5">
              <w:rPr>
                <w:rFonts w:ascii="Helvetica Neue" w:eastAsia="Helvetica Neue" w:hAnsi="Helvetica Neue" w:cs="Arial"/>
              </w:rPr>
              <w:t xml:space="preserve">Many jurisdictions have </w:t>
            </w:r>
            <w:proofErr w:type="gramStart"/>
            <w:r w:rsidRPr="001115C5">
              <w:rPr>
                <w:rFonts w:ascii="Helvetica Neue" w:eastAsia="Helvetica Neue" w:hAnsi="Helvetica Neue" w:cs="Arial"/>
              </w:rPr>
              <w:t>banned</w:t>
            </w:r>
            <w:proofErr w:type="gramEnd"/>
            <w:r w:rsidRPr="001115C5">
              <w:rPr>
                <w:rFonts w:ascii="Helvetica Neue" w:eastAsia="Helvetica Neue" w:hAnsi="Helvetica Neue" w:cs="Arial"/>
              </w:rPr>
              <w:t xml:space="preserve"> or restricted Delivery and we encourage jurisdictions to continue including bans on Delivery in their ordinances</w:t>
            </w:r>
            <w:r w:rsidR="00203AE0">
              <w:rPr>
                <w:rFonts w:ascii="Helvetica Neue" w:eastAsia="Helvetica Neue" w:hAnsi="Helvetica Neue" w:cs="Arial"/>
              </w:rPr>
              <w:t xml:space="preserve">. </w:t>
            </w:r>
            <w:r w:rsidRPr="001115C5">
              <w:rPr>
                <w:rFonts w:ascii="Helvetica Neue" w:eastAsia="Helvetica Neue" w:hAnsi="Helvetica Neue" w:cs="Arial"/>
              </w:rPr>
              <w:t>Allowing Delivery of only medical products is another alternative.</w:t>
            </w:r>
          </w:p>
          <w:p w14:paraId="3478C51B" w14:textId="3F823BCD" w:rsidR="000E6B96" w:rsidRPr="001115C5" w:rsidRDefault="000E6B96" w:rsidP="002530E8">
            <w:pPr>
              <w:spacing w:before="120" w:after="120" w:line="360" w:lineRule="auto"/>
              <w:rPr>
                <w:rFonts w:ascii="Helvetica Neue" w:eastAsia="Helvetica Neue" w:hAnsi="Helvetica Neue" w:cs="Arial"/>
              </w:rPr>
            </w:pPr>
            <w:r w:rsidRPr="001115C5">
              <w:rPr>
                <w:rFonts w:ascii="Helvetica Neue" w:eastAsia="Helvetica Neue" w:hAnsi="Helvetica Neue" w:cs="Arial"/>
              </w:rPr>
              <w:t xml:space="preserve">Although local jurisdictions may prohibit Deliveries within their </w:t>
            </w:r>
            <w:r w:rsidR="00203AE0">
              <w:rPr>
                <w:rFonts w:ascii="Helvetica Neue" w:eastAsia="Helvetica Neue" w:hAnsi="Helvetica Neue" w:cs="Arial"/>
              </w:rPr>
              <w:t xml:space="preserve">borders, </w:t>
            </w:r>
            <w:r w:rsidRPr="001115C5">
              <w:rPr>
                <w:rFonts w:ascii="Helvetica Neue" w:eastAsia="Helvetica Neue" w:hAnsi="Helvetica Neue" w:cs="Arial"/>
              </w:rPr>
              <w:t>they may not prevent a Delivery service from using public roads to simply pass through the jurisdiction from a licensed Cannabis Retailer to a Delivery location outside of its boundaries (California Business and Professions Code section 26080). If Delivery to the Consumer is allowed, we recommend, in addition to state requirements in the proposed emergency regulations, that verification of identity and age be required using up-to-date ID scanning technology for each Delivery. A recent study in San Mateo County found 3 of 7 online delivery sites did not properly confirm IDs and only 3 of 5 checked ID to verify age and recipient on delivery.</w:t>
            </w:r>
            <w:r w:rsidR="005B3A68" w:rsidRPr="001115C5">
              <w:rPr>
                <w:rStyle w:val="FootnoteReference"/>
                <w:rFonts w:ascii="Helvetica Neue" w:eastAsia="Helvetica Neue" w:hAnsi="Helvetica Neue" w:cs="Arial"/>
              </w:rPr>
              <w:footnoteReference w:id="83"/>
            </w:r>
          </w:p>
          <w:p w14:paraId="23ED2489" w14:textId="2CBBAB82" w:rsidR="000E6B96" w:rsidRPr="001115C5" w:rsidRDefault="000E6B96" w:rsidP="002530E8">
            <w:pPr>
              <w:spacing w:before="120" w:after="120" w:line="360" w:lineRule="auto"/>
              <w:rPr>
                <w:rFonts w:ascii="Helvetica Neue" w:eastAsia="Helvetica Neue" w:hAnsi="Helvetica Neue" w:cs="Arial"/>
              </w:rPr>
            </w:pPr>
            <w:r w:rsidRPr="001115C5">
              <w:rPr>
                <w:rFonts w:ascii="Helvetica Neue" w:eastAsia="Helvetica Neue" w:hAnsi="Helvetica Neue" w:cs="Arial"/>
              </w:rPr>
              <w:t>An</w:t>
            </w:r>
            <w:r w:rsidR="00203AE0">
              <w:rPr>
                <w:rFonts w:ascii="Helvetica Neue" w:eastAsia="Helvetica Neue" w:hAnsi="Helvetica Neue" w:cs="Arial"/>
              </w:rPr>
              <w:t xml:space="preserve">other </w:t>
            </w:r>
            <w:r w:rsidRPr="001115C5">
              <w:rPr>
                <w:rFonts w:ascii="Helvetica Neue" w:eastAsia="Helvetica Neue" w:hAnsi="Helvetica Neue" w:cs="Arial"/>
              </w:rPr>
              <w:t xml:space="preserve">option to consider if </w:t>
            </w:r>
            <w:r w:rsidR="00203AE0">
              <w:rPr>
                <w:rFonts w:ascii="Helvetica Neue" w:eastAsia="Helvetica Neue" w:hAnsi="Helvetica Neue" w:cs="Arial"/>
              </w:rPr>
              <w:t>Delivery by</w:t>
            </w:r>
            <w:r w:rsidRPr="001115C5">
              <w:rPr>
                <w:rFonts w:ascii="Helvetica Neue" w:eastAsia="Helvetica Neue" w:hAnsi="Helvetica Neue" w:cs="Arial"/>
              </w:rPr>
              <w:t xml:space="preserve"> business</w:t>
            </w:r>
            <w:r w:rsidR="00203AE0">
              <w:rPr>
                <w:rFonts w:ascii="Helvetica Neue" w:eastAsia="Helvetica Neue" w:hAnsi="Helvetica Neue" w:cs="Arial"/>
              </w:rPr>
              <w:t>es</w:t>
            </w:r>
            <w:r w:rsidRPr="001115C5">
              <w:rPr>
                <w:rFonts w:ascii="Helvetica Neue" w:eastAsia="Helvetica Neue" w:hAnsi="Helvetica Neue" w:cs="Arial"/>
              </w:rPr>
              <w:t xml:space="preserve"> licensed outside </w:t>
            </w:r>
            <w:r w:rsidR="008B35D9" w:rsidRPr="001115C5">
              <w:rPr>
                <w:rFonts w:ascii="Helvetica Neue" w:eastAsia="Helvetica Neue" w:hAnsi="Helvetica Neue" w:cs="Arial"/>
              </w:rPr>
              <w:t>[City/County]</w:t>
            </w:r>
            <w:r w:rsidRPr="001115C5">
              <w:rPr>
                <w:rFonts w:ascii="Helvetica Neue" w:eastAsia="Helvetica Neue" w:hAnsi="Helvetica Neue" w:cs="Arial"/>
              </w:rPr>
              <w:t xml:space="preserve"> </w:t>
            </w:r>
            <w:r w:rsidR="00203AE0">
              <w:rPr>
                <w:rFonts w:ascii="Helvetica Neue" w:eastAsia="Helvetica Neue" w:hAnsi="Helvetica Neue" w:cs="Arial"/>
              </w:rPr>
              <w:t xml:space="preserve">is allowed is </w:t>
            </w:r>
            <w:r w:rsidRPr="001115C5">
              <w:rPr>
                <w:rFonts w:ascii="Helvetica Neue" w:eastAsia="Helvetica Neue" w:hAnsi="Helvetica Neue" w:cs="Arial"/>
              </w:rPr>
              <w:t xml:space="preserve">to </w:t>
            </w:r>
            <w:r w:rsidR="00203AE0">
              <w:rPr>
                <w:rFonts w:ascii="Helvetica Neue" w:eastAsia="Helvetica Neue" w:hAnsi="Helvetica Neue" w:cs="Arial"/>
              </w:rPr>
              <w:t xml:space="preserve">require </w:t>
            </w:r>
            <w:r w:rsidRPr="001115C5">
              <w:rPr>
                <w:rFonts w:ascii="Helvetica Neue" w:eastAsia="Helvetica Neue" w:hAnsi="Helvetica Neue" w:cs="Arial"/>
              </w:rPr>
              <w:t>compl</w:t>
            </w:r>
            <w:r w:rsidR="00203AE0">
              <w:rPr>
                <w:rFonts w:ascii="Helvetica Neue" w:eastAsia="Helvetica Neue" w:hAnsi="Helvetica Neue" w:cs="Arial"/>
              </w:rPr>
              <w:t>iance</w:t>
            </w:r>
            <w:r w:rsidRPr="001115C5">
              <w:rPr>
                <w:rFonts w:ascii="Helvetica Neue" w:eastAsia="Helvetica Neue" w:hAnsi="Helvetica Neue" w:cs="Arial"/>
              </w:rPr>
              <w:t xml:space="preserve"> with the requirements imposed upon </w:t>
            </w:r>
            <w:r w:rsidR="00203AE0">
              <w:rPr>
                <w:rFonts w:ascii="Helvetica Neue" w:eastAsia="Helvetica Neue" w:hAnsi="Helvetica Neue" w:cs="Arial"/>
              </w:rPr>
              <w:t xml:space="preserve">local </w:t>
            </w:r>
            <w:r w:rsidRPr="001115C5">
              <w:rPr>
                <w:rFonts w:ascii="Helvetica Neue" w:eastAsia="Helvetica Neue" w:hAnsi="Helvetica Neue" w:cs="Arial"/>
              </w:rPr>
              <w:t>retailers related to operations, product limits, and warnings.</w:t>
            </w:r>
          </w:p>
        </w:tc>
      </w:tr>
    </w:tbl>
    <w:p w14:paraId="597D12DA" w14:textId="77777777" w:rsidR="00EB22B8" w:rsidRPr="001115C5" w:rsidRDefault="00EB5672" w:rsidP="00064063">
      <w:pPr>
        <w:pStyle w:val="ListParagraph"/>
        <w:numPr>
          <w:ilvl w:val="0"/>
          <w:numId w:val="8"/>
        </w:numPr>
        <w:spacing w:before="480" w:after="240"/>
        <w:ind w:left="446" w:hanging="446"/>
        <w:contextualSpacing w:val="0"/>
        <w:rPr>
          <w:rFonts w:ascii="Helvetica Neue" w:hAnsi="Helvetica Neue" w:cs="Arial"/>
        </w:rPr>
      </w:pPr>
      <w:r w:rsidRPr="001115C5">
        <w:rPr>
          <w:rFonts w:ascii="Helvetica Neue" w:hAnsi="Helvetica Neue" w:cs="Arial"/>
          <w:b/>
          <w:bCs/>
        </w:rPr>
        <w:lastRenderedPageBreak/>
        <w:t>No Self-Service Displays</w:t>
      </w:r>
      <w:r w:rsidRPr="001115C5">
        <w:rPr>
          <w:rFonts w:ascii="Helvetica Neue" w:hAnsi="Helvetica Neue" w:cs="Arial"/>
        </w:rPr>
        <w:t>. Cannabis Retailing by means of a Self-Service Display is prohibited.</w:t>
      </w:r>
    </w:p>
    <w:p w14:paraId="6434E58C" w14:textId="77777777" w:rsidR="00EB22B8" w:rsidRPr="001115C5" w:rsidRDefault="00EB5672" w:rsidP="00064063">
      <w:pPr>
        <w:pStyle w:val="ListParagraph"/>
        <w:numPr>
          <w:ilvl w:val="0"/>
          <w:numId w:val="8"/>
        </w:numPr>
        <w:spacing w:after="240"/>
        <w:ind w:left="446" w:hanging="446"/>
        <w:contextualSpacing w:val="0"/>
        <w:rPr>
          <w:rFonts w:ascii="Helvetica Neue" w:hAnsi="Helvetica Neue" w:cs="Arial"/>
        </w:rPr>
      </w:pPr>
      <w:r w:rsidRPr="001115C5">
        <w:rPr>
          <w:rFonts w:ascii="Helvetica Neue" w:hAnsi="Helvetica Neue" w:cs="Arial"/>
          <w:b/>
          <w:bCs/>
        </w:rPr>
        <w:t>No Robot Deliveries</w:t>
      </w:r>
      <w:r w:rsidRPr="001115C5">
        <w:rPr>
          <w:rFonts w:ascii="Helvetica Neue" w:hAnsi="Helvetica Neue" w:cs="Arial"/>
        </w:rPr>
        <w:t>. No Cannabis or Cannabis Product may be sold or delivered by drones, robots or unmanned vehicle.</w:t>
      </w:r>
    </w:p>
    <w:p w14:paraId="10BC53F2" w14:textId="0E260906" w:rsidR="000E6B96" w:rsidRPr="001115C5" w:rsidRDefault="00EB5672" w:rsidP="00064063">
      <w:pPr>
        <w:pStyle w:val="ListParagraph"/>
        <w:numPr>
          <w:ilvl w:val="0"/>
          <w:numId w:val="8"/>
        </w:numPr>
        <w:spacing w:after="240"/>
        <w:ind w:left="446" w:hanging="446"/>
        <w:contextualSpacing w:val="0"/>
        <w:rPr>
          <w:rFonts w:ascii="Helvetica Neue" w:hAnsi="Helvetica Neue" w:cs="Arial"/>
        </w:rPr>
      </w:pPr>
      <w:r w:rsidRPr="001115C5">
        <w:rPr>
          <w:rFonts w:ascii="Helvetica Neue" w:hAnsi="Helvetica Neue" w:cs="Arial"/>
          <w:b/>
          <w:bCs/>
        </w:rPr>
        <w:lastRenderedPageBreak/>
        <w:t>No Misleading Business Names</w:t>
      </w:r>
      <w:r w:rsidRPr="001115C5">
        <w:rPr>
          <w:rFonts w:ascii="Helvetica Neue" w:hAnsi="Helvetica Neue" w:cs="Arial"/>
        </w:rPr>
        <w:t>. No Cannabis Retailer with an adult use license may do business under a name or imagery that implies therapeutic or health-related activity including without limitation, “health,” “wellness” or “clinic” or a green cross image.</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EB5672" w:rsidRPr="001115C5" w14:paraId="49DEA4F6" w14:textId="77777777" w:rsidTr="00EB22B8">
        <w:tc>
          <w:tcPr>
            <w:tcW w:w="10188" w:type="dxa"/>
            <w:shd w:val="clear" w:color="auto" w:fill="D9D9D9" w:themeFill="background1" w:themeFillShade="D9"/>
          </w:tcPr>
          <w:p w14:paraId="5C4B2531" w14:textId="6948006B" w:rsidR="00EB5672" w:rsidRPr="001115C5" w:rsidRDefault="00EB5672" w:rsidP="00EB22B8">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This requirement against names that suggest healthfulness is based on the well-documented health risks of non-medical use. Local government has a substantial interest in ensuring consumers are not misled as to the healthfulness of Cannabis and Cannabis Products.</w:t>
            </w:r>
          </w:p>
        </w:tc>
      </w:tr>
    </w:tbl>
    <w:p w14:paraId="64372CEE" w14:textId="3191A5F4" w:rsidR="00EB22B8" w:rsidRPr="001115C5" w:rsidRDefault="00EB5672" w:rsidP="00064063">
      <w:pPr>
        <w:pStyle w:val="ListParagraph"/>
        <w:numPr>
          <w:ilvl w:val="0"/>
          <w:numId w:val="8"/>
        </w:numPr>
        <w:spacing w:before="480" w:after="240"/>
        <w:ind w:left="450" w:hanging="450"/>
        <w:contextualSpacing w:val="0"/>
        <w:rPr>
          <w:rFonts w:ascii="Helvetica Neue" w:hAnsi="Helvetica Neue" w:cs="Arial"/>
        </w:rPr>
      </w:pPr>
      <w:r w:rsidRPr="001115C5">
        <w:rPr>
          <w:rFonts w:ascii="Helvetica Neue" w:hAnsi="Helvetica Neue" w:cs="Arial"/>
          <w:b/>
          <w:bCs/>
        </w:rPr>
        <w:t>Contact Information</w:t>
      </w:r>
      <w:r w:rsidRPr="001115C5">
        <w:rPr>
          <w:rFonts w:ascii="Helvetica Neue" w:hAnsi="Helvetica Neue" w:cs="Arial"/>
        </w:rPr>
        <w:t xml:space="preserve">. The Cannabis Retailer shall provide </w:t>
      </w:r>
      <w:r w:rsidR="008B35D9" w:rsidRPr="001115C5">
        <w:rPr>
          <w:rFonts w:ascii="Helvetica Neue" w:hAnsi="Helvetica Neue" w:cs="Arial"/>
          <w:color w:val="FF0000"/>
        </w:rPr>
        <w:t>[City/County]</w:t>
      </w:r>
      <w:r w:rsidRPr="001115C5">
        <w:rPr>
          <w:rFonts w:ascii="Helvetica Neue" w:hAnsi="Helvetica Neue" w:cs="Arial"/>
        </w:rPr>
        <w:t xml:space="preserve"> the name and phone number of an on-site staff person to whom one can direct notices of complaints or violations and shall update that information as necessary.</w:t>
      </w:r>
    </w:p>
    <w:p w14:paraId="0AA371D4" w14:textId="77777777" w:rsidR="00EB22B8" w:rsidRPr="001115C5" w:rsidRDefault="00EB5672" w:rsidP="00064063">
      <w:pPr>
        <w:pStyle w:val="ListParagraph"/>
        <w:numPr>
          <w:ilvl w:val="0"/>
          <w:numId w:val="8"/>
        </w:numPr>
        <w:spacing w:after="240"/>
        <w:ind w:left="450" w:hanging="450"/>
        <w:contextualSpacing w:val="0"/>
        <w:rPr>
          <w:rFonts w:ascii="Helvetica Neue" w:hAnsi="Helvetica Neue" w:cs="Arial"/>
        </w:rPr>
      </w:pPr>
      <w:r w:rsidRPr="001115C5">
        <w:rPr>
          <w:rFonts w:ascii="Helvetica Neue" w:hAnsi="Helvetica Neue" w:cs="Arial"/>
          <w:b/>
          <w:bCs/>
        </w:rPr>
        <w:t>Complaint or Adverse Event Reporting</w:t>
      </w:r>
      <w:r w:rsidRPr="001115C5">
        <w:rPr>
          <w:rFonts w:ascii="Helvetica Neue" w:hAnsi="Helvetica Neue" w:cs="Arial"/>
        </w:rPr>
        <w:t xml:space="preserve">. The </w:t>
      </w:r>
      <w:r w:rsidRPr="001115C5">
        <w:rPr>
          <w:rFonts w:ascii="Helvetica Neue" w:hAnsi="Helvetica Neue" w:cs="Arial"/>
          <w:color w:val="FF0000"/>
        </w:rPr>
        <w:t>Department</w:t>
      </w:r>
      <w:r w:rsidRPr="001115C5">
        <w:rPr>
          <w:rFonts w:ascii="Helvetica Neue" w:hAnsi="Helvetica Neue" w:cs="Arial"/>
        </w:rPr>
        <w:t xml:space="preserve"> shall develop and make available a standardized online form(s) for members of the public to make complaints regarding Cannabis businesses or report serious adverse events related to Cannabis or Cannabis Products. This form shall be developed within six months of the date of this ordinance.</w:t>
      </w:r>
    </w:p>
    <w:p w14:paraId="46D0D9DE" w14:textId="77777777" w:rsidR="00EB22B8" w:rsidRPr="001115C5" w:rsidRDefault="00EB5672" w:rsidP="00064063">
      <w:pPr>
        <w:pStyle w:val="ListParagraph"/>
        <w:numPr>
          <w:ilvl w:val="0"/>
          <w:numId w:val="8"/>
        </w:numPr>
        <w:spacing w:after="240"/>
        <w:ind w:left="450" w:hanging="450"/>
        <w:contextualSpacing w:val="0"/>
        <w:rPr>
          <w:rFonts w:ascii="Helvetica Neue" w:hAnsi="Helvetica Neue" w:cs="Arial"/>
        </w:rPr>
      </w:pPr>
      <w:r w:rsidRPr="001115C5">
        <w:rPr>
          <w:rFonts w:ascii="Helvetica Neue" w:hAnsi="Helvetica Neue" w:cs="Arial"/>
          <w:b/>
          <w:bCs/>
        </w:rPr>
        <w:t>No Operation or Advertising Without a Valid Permit</w:t>
      </w:r>
      <w:r w:rsidRPr="001115C5">
        <w:rPr>
          <w:rFonts w:ascii="Helvetica Neue" w:hAnsi="Helvetica Neue" w:cs="Arial"/>
        </w:rPr>
        <w:t>. Any person without a valid Cannabis Retailer permit shall:</w:t>
      </w:r>
    </w:p>
    <w:p w14:paraId="3D96DCA4" w14:textId="77777777" w:rsidR="00EB22B8" w:rsidRPr="001115C5" w:rsidRDefault="00EB5672" w:rsidP="00064063">
      <w:pPr>
        <w:pStyle w:val="ListParagraph"/>
        <w:numPr>
          <w:ilvl w:val="1"/>
          <w:numId w:val="8"/>
        </w:numPr>
        <w:spacing w:after="240"/>
        <w:ind w:left="936"/>
        <w:contextualSpacing w:val="0"/>
        <w:rPr>
          <w:rFonts w:ascii="Helvetica Neue" w:hAnsi="Helvetica Neue" w:cs="Arial"/>
        </w:rPr>
      </w:pPr>
      <w:r w:rsidRPr="001115C5">
        <w:rPr>
          <w:rFonts w:ascii="Helvetica Neue" w:hAnsi="Helvetica Neue" w:cs="Arial"/>
        </w:rPr>
        <w:t>Close the premises to the public until such time as a permit is obtained or reissued.</w:t>
      </w:r>
    </w:p>
    <w:p w14:paraId="5AB491D3" w14:textId="1A40A8C2" w:rsidR="00EB5672" w:rsidRPr="001115C5" w:rsidRDefault="00EB5672" w:rsidP="00064063">
      <w:pPr>
        <w:pStyle w:val="ListParagraph"/>
        <w:numPr>
          <w:ilvl w:val="1"/>
          <w:numId w:val="8"/>
        </w:numPr>
        <w:spacing w:after="240"/>
        <w:ind w:left="936"/>
        <w:contextualSpacing w:val="0"/>
        <w:rPr>
          <w:rFonts w:ascii="Helvetica Neue" w:hAnsi="Helvetica Neue" w:cs="Arial"/>
        </w:rPr>
      </w:pPr>
      <w:r w:rsidRPr="001115C5">
        <w:rPr>
          <w:rFonts w:ascii="Helvetica Neue" w:hAnsi="Helvetica Neue" w:cs="Arial"/>
        </w:rPr>
        <w:t xml:space="preserve">Refrain from displaying any Advertisement relating to Cannabis, Cannabis Products or Cannabis Accessories with respect to an unpermitted location or that could mislead a reasonable consumer into believing that such products can be obtained at that location. Permanent signage need not be removed if an application to the </w:t>
      </w:r>
      <w:r w:rsidRPr="001115C5">
        <w:rPr>
          <w:rFonts w:ascii="Helvetica Neue" w:hAnsi="Helvetica Neue" w:cs="Arial"/>
          <w:color w:val="FF0000"/>
        </w:rPr>
        <w:t>Department</w:t>
      </w:r>
      <w:r w:rsidRPr="001115C5">
        <w:rPr>
          <w:rFonts w:ascii="Helvetica Neue" w:hAnsi="Helvetica Neue" w:cs="Arial"/>
        </w:rPr>
        <w:t xml:space="preserve"> for a new or reissued permit is pending.</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EB5672" w:rsidRPr="001115C5" w14:paraId="6328F222" w14:textId="77777777" w:rsidTr="00EB22B8">
        <w:tc>
          <w:tcPr>
            <w:tcW w:w="10188" w:type="dxa"/>
            <w:shd w:val="clear" w:color="auto" w:fill="D9D9D9" w:themeFill="background1" w:themeFillShade="D9"/>
          </w:tcPr>
          <w:p w14:paraId="3BCA83A4" w14:textId="23B98067" w:rsidR="00EB5672" w:rsidRPr="001115C5" w:rsidRDefault="00EB5672" w:rsidP="00EB22B8">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This subsection provides that a retailer who cannot legally sell Cannabis or Cannabis Products may not display or Advertise such products. To do so would be misleading to consumers (Business &amp; Professions Code section 17500) and could invite illegal sales. The First Amendment does not protect false or actually misleading commercial speech (</w:t>
            </w:r>
            <w:r w:rsidRPr="001115C5">
              <w:rPr>
                <w:rFonts w:ascii="Helvetica Neue" w:eastAsia="Helvetica Neue" w:hAnsi="Helvetica Neue" w:cs="Arial"/>
                <w:i/>
                <w:iCs/>
              </w:rPr>
              <w:t>Central Hudson Gas &amp; Elec. Corp. v. Public Service Commission of New York</w:t>
            </w:r>
            <w:r w:rsidRPr="001115C5">
              <w:rPr>
                <w:rFonts w:ascii="Helvetica Neue" w:eastAsia="Helvetica Neue" w:hAnsi="Helvetica Neue" w:cs="Arial"/>
              </w:rPr>
              <w:t>, 447 U.S. 557 (1980)).</w:t>
            </w:r>
          </w:p>
        </w:tc>
      </w:tr>
    </w:tbl>
    <w:p w14:paraId="2DE76274" w14:textId="38233DDC" w:rsidR="00EB22B8" w:rsidRPr="001115C5" w:rsidRDefault="00EB22B8" w:rsidP="00E31849">
      <w:pPr>
        <w:pStyle w:val="Heading3"/>
        <w:spacing w:before="480" w:after="240"/>
        <w:rPr>
          <w:rFonts w:ascii="Helvetica Neue" w:hAnsi="Helvetica Neue"/>
        </w:rPr>
      </w:pPr>
      <w:bookmarkStart w:id="12" w:name="_Toc65578298"/>
      <w:r w:rsidRPr="001115C5">
        <w:rPr>
          <w:rFonts w:ascii="Helvetica Neue" w:hAnsi="Helvetica Neue"/>
        </w:rPr>
        <w:lastRenderedPageBreak/>
        <w:t>Section F. RESTRICTIONS ON ELIGIBILITY FOR A CANNABIS RETAILER CONDITIONAL USE PERMIT.</w:t>
      </w:r>
      <w:bookmarkEnd w:id="12"/>
    </w:p>
    <w:p w14:paraId="22ACAC21" w14:textId="77777777" w:rsidR="00766F62" w:rsidRPr="001115C5" w:rsidRDefault="00EB22B8" w:rsidP="00064063">
      <w:pPr>
        <w:pStyle w:val="ListParagraph"/>
        <w:numPr>
          <w:ilvl w:val="0"/>
          <w:numId w:val="9"/>
        </w:numPr>
        <w:spacing w:after="240"/>
        <w:ind w:left="360"/>
        <w:contextualSpacing w:val="0"/>
        <w:rPr>
          <w:rFonts w:ascii="Helvetica Neue" w:hAnsi="Helvetica Neue" w:cs="Arial"/>
        </w:rPr>
      </w:pPr>
      <w:r w:rsidRPr="001115C5">
        <w:rPr>
          <w:rFonts w:ascii="Helvetica Neue" w:hAnsi="Helvetica Neue" w:cs="Arial"/>
          <w:b/>
          <w:bCs/>
        </w:rPr>
        <w:t>Fixed Locations</w:t>
      </w:r>
      <w:r w:rsidRPr="001115C5">
        <w:rPr>
          <w:rFonts w:ascii="Helvetica Neue" w:hAnsi="Helvetica Neue" w:cs="Arial"/>
        </w:rPr>
        <w:t xml:space="preserve">. Cannabis Retailers must operate in a permanent structure which complies with </w:t>
      </w:r>
      <w:r w:rsidR="008B35D9" w:rsidRPr="001115C5">
        <w:rPr>
          <w:rFonts w:ascii="Helvetica Neue" w:hAnsi="Helvetica Neue" w:cs="Arial"/>
          <w:color w:val="FF0000"/>
        </w:rPr>
        <w:t>[Article/Chapter]</w:t>
      </w:r>
      <w:r w:rsidRPr="001115C5">
        <w:rPr>
          <w:rFonts w:ascii="Helvetica Neue" w:hAnsi="Helvetica Neue" w:cs="Arial"/>
        </w:rPr>
        <w:t xml:space="preserve"> of this </w:t>
      </w:r>
      <w:r w:rsidRPr="001115C5">
        <w:rPr>
          <w:rFonts w:ascii="Helvetica Neue" w:hAnsi="Helvetica Neue" w:cs="Arial"/>
          <w:color w:val="FF0000"/>
        </w:rPr>
        <w:t>Code [the City or County Building Code]</w:t>
      </w:r>
      <w:r w:rsidRPr="001115C5">
        <w:rPr>
          <w:rFonts w:ascii="Helvetica Neue" w:hAnsi="Helvetica Neue" w:cs="Arial"/>
        </w:rPr>
        <w:t>. Cannabis Retailing from a vehicle or temporary structure is not permitted. For example, Cannabis Retailing by persons on foot or from vehicles or at festivals or fairs from a tent or booth is prohibited.</w:t>
      </w:r>
    </w:p>
    <w:p w14:paraId="5CEE6619" w14:textId="77777777" w:rsidR="00766F62" w:rsidRPr="001115C5" w:rsidRDefault="00EB22B8" w:rsidP="00064063">
      <w:pPr>
        <w:pStyle w:val="ListParagraph"/>
        <w:numPr>
          <w:ilvl w:val="0"/>
          <w:numId w:val="9"/>
        </w:numPr>
        <w:spacing w:after="240"/>
        <w:ind w:left="360"/>
        <w:contextualSpacing w:val="0"/>
        <w:rPr>
          <w:rFonts w:ascii="Helvetica Neue" w:hAnsi="Helvetica Neue" w:cs="Arial"/>
        </w:rPr>
      </w:pPr>
      <w:r w:rsidRPr="001115C5">
        <w:rPr>
          <w:rFonts w:ascii="Helvetica Neue" w:hAnsi="Helvetica Neue" w:cs="Arial"/>
          <w:b/>
          <w:bCs/>
        </w:rPr>
        <w:t>No Temporary Events</w:t>
      </w:r>
      <w:r w:rsidRPr="001115C5">
        <w:rPr>
          <w:rFonts w:ascii="Helvetica Neue" w:hAnsi="Helvetica Neue" w:cs="Arial"/>
        </w:rPr>
        <w:t xml:space="preserve">. The </w:t>
      </w:r>
      <w:r w:rsidRPr="001115C5">
        <w:rPr>
          <w:rFonts w:ascii="Helvetica Neue" w:hAnsi="Helvetica Neue" w:cs="Arial"/>
          <w:color w:val="FF0000"/>
        </w:rPr>
        <w:t>Department</w:t>
      </w:r>
      <w:r w:rsidRPr="001115C5">
        <w:rPr>
          <w:rFonts w:ascii="Helvetica Neue" w:hAnsi="Helvetica Neue" w:cs="Arial"/>
        </w:rPr>
        <w:t xml:space="preserve"> shall not allow, nor issue permits for fairs, festivals, concerts or other temporary events.</w:t>
      </w:r>
    </w:p>
    <w:p w14:paraId="3A286C2B" w14:textId="40CFB635" w:rsidR="00EB5672" w:rsidRPr="001115C5" w:rsidRDefault="00EB22B8" w:rsidP="00064063">
      <w:pPr>
        <w:pStyle w:val="ListParagraph"/>
        <w:numPr>
          <w:ilvl w:val="0"/>
          <w:numId w:val="9"/>
        </w:numPr>
        <w:spacing w:after="240"/>
        <w:ind w:left="360"/>
        <w:contextualSpacing w:val="0"/>
        <w:rPr>
          <w:rFonts w:ascii="Helvetica Neue" w:hAnsi="Helvetica Neue" w:cs="Arial"/>
        </w:rPr>
      </w:pPr>
      <w:r w:rsidRPr="001115C5">
        <w:rPr>
          <w:rFonts w:ascii="Helvetica Neue" w:hAnsi="Helvetica Neue" w:cs="Arial"/>
          <w:b/>
          <w:bCs/>
        </w:rPr>
        <w:t>OPTION (NOT RECOMMENDED)</w:t>
      </w:r>
      <w:r w:rsidRPr="001115C5">
        <w:rPr>
          <w:rFonts w:ascii="Helvetica Neue" w:hAnsi="Helvetica Neue" w:cs="Arial"/>
        </w:rPr>
        <w:t xml:space="preserve">. Temporary Events Permits. The </w:t>
      </w:r>
      <w:r w:rsidRPr="001115C5">
        <w:rPr>
          <w:rFonts w:ascii="Helvetica Neue" w:hAnsi="Helvetica Neue" w:cs="Arial"/>
          <w:color w:val="FF0000"/>
        </w:rPr>
        <w:t>Department</w:t>
      </w:r>
      <w:r w:rsidRPr="001115C5">
        <w:rPr>
          <w:rFonts w:ascii="Helvetica Neue" w:hAnsi="Helvetica Neue" w:cs="Arial"/>
        </w:rPr>
        <w:t xml:space="preserve"> may issue a temporary permit, not exceeding 2 days in a calendar year, for Cannabis Retailing at indoor industry events or fairs that check identification of all entrants, do not allow the entry of individuals under age 21, do not allow on-site consumption, and do not allow sale or distribution of food or alcoholic beverages.</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EB22B8" w:rsidRPr="001115C5" w14:paraId="31E18B10" w14:textId="77777777" w:rsidTr="00EB22B8">
        <w:tc>
          <w:tcPr>
            <w:tcW w:w="10188" w:type="dxa"/>
            <w:shd w:val="clear" w:color="auto" w:fill="D9D9D9" w:themeFill="background1" w:themeFillShade="D9"/>
          </w:tcPr>
          <w:p w14:paraId="7C6B0D13" w14:textId="444FC20A" w:rsidR="00EB22B8" w:rsidRPr="001115C5" w:rsidRDefault="00EB22B8" w:rsidP="00EB22B8">
            <w:pPr>
              <w:spacing w:before="240" w:after="120" w:line="360" w:lineRule="auto"/>
              <w:rPr>
                <w:rFonts w:ascii="Helvetica Neue" w:eastAsia="Helvetica Neue" w:hAnsi="Helvetica Neue" w:cs="Arial"/>
              </w:rPr>
            </w:pPr>
            <w:bookmarkStart w:id="13" w:name="_Hlk57078927"/>
            <w:r w:rsidRPr="001115C5">
              <w:rPr>
                <w:rFonts w:ascii="Helvetica Neue" w:eastAsia="Helvetica Neue" w:hAnsi="Helvetica Neue" w:cs="Arial"/>
                <w:b/>
                <w:bCs/>
              </w:rPr>
              <w:t>COMMENT</w:t>
            </w:r>
            <w:r w:rsidRPr="001115C5">
              <w:rPr>
                <w:rFonts w:ascii="Helvetica Neue" w:eastAsia="Helvetica Neue" w:hAnsi="Helvetica Neue" w:cs="Arial"/>
              </w:rPr>
              <w:t>: Note that state regulations permit on-site Cannabis sales as well as on-site Cannabis consumption at temporary events, subject to certain conditions, if local government allows. (California Code of Regulations, Title 16, Division 42, sections 5602–5603). This ordinance provides, but recommends against, an option to allow on-site sales at such events, but not on-site consumption. Local governments should consider where adults may safely and legally consume Cannabis. Use of such temporary permits has led to renormalization of smoking at public events such as concerts in public parks. We recommend that local ordinances specifically prohibit temporary events and onsite consumption. This can avoid any later administrative authorizations for these activities.</w:t>
            </w:r>
          </w:p>
        </w:tc>
      </w:tr>
    </w:tbl>
    <w:bookmarkEnd w:id="13"/>
    <w:p w14:paraId="55338752" w14:textId="77777777" w:rsidR="00766F62" w:rsidRPr="001115C5" w:rsidRDefault="00EB22B8" w:rsidP="00064063">
      <w:pPr>
        <w:pStyle w:val="ListParagraph"/>
        <w:numPr>
          <w:ilvl w:val="0"/>
          <w:numId w:val="9"/>
        </w:numPr>
        <w:spacing w:before="480" w:after="240"/>
        <w:ind w:left="360"/>
        <w:contextualSpacing w:val="0"/>
        <w:rPr>
          <w:rFonts w:ascii="Helvetica Neue" w:hAnsi="Helvetica Neue" w:cs="Arial"/>
        </w:rPr>
      </w:pPr>
      <w:r w:rsidRPr="001115C5">
        <w:rPr>
          <w:rFonts w:ascii="Helvetica Neue" w:hAnsi="Helvetica Neue" w:cs="Arial"/>
          <w:b/>
          <w:bCs/>
        </w:rPr>
        <w:t>One Permit Only</w:t>
      </w:r>
      <w:r w:rsidRPr="001115C5">
        <w:rPr>
          <w:rFonts w:ascii="Helvetica Neue" w:hAnsi="Helvetica Neue" w:cs="Arial"/>
        </w:rPr>
        <w:t xml:space="preserve">. An Owner may be awarded only one permit for Cannabis retail sales in </w:t>
      </w:r>
      <w:r w:rsidR="008B35D9" w:rsidRPr="001115C5">
        <w:rPr>
          <w:rFonts w:ascii="Helvetica Neue" w:hAnsi="Helvetica Neue" w:cs="Arial"/>
          <w:color w:val="FF0000"/>
        </w:rPr>
        <w:t>[City/County]</w:t>
      </w:r>
      <w:r w:rsidRPr="001115C5">
        <w:rPr>
          <w:rFonts w:ascii="Helvetica Neue" w:hAnsi="Helvetica Neue" w:cs="Arial"/>
        </w:rPr>
        <w:t>. [N/A if monopoly franchise model]</w:t>
      </w:r>
    </w:p>
    <w:p w14:paraId="0C29AA3C" w14:textId="77777777" w:rsidR="00766F62" w:rsidRPr="001115C5" w:rsidRDefault="00EB22B8" w:rsidP="00064063">
      <w:pPr>
        <w:pStyle w:val="ListParagraph"/>
        <w:numPr>
          <w:ilvl w:val="0"/>
          <w:numId w:val="9"/>
        </w:numPr>
        <w:spacing w:after="240"/>
        <w:ind w:left="360"/>
        <w:contextualSpacing w:val="0"/>
        <w:rPr>
          <w:rFonts w:ascii="Helvetica Neue" w:hAnsi="Helvetica Neue" w:cs="Arial"/>
        </w:rPr>
      </w:pPr>
      <w:r w:rsidRPr="001115C5">
        <w:rPr>
          <w:rFonts w:ascii="Helvetica Neue" w:hAnsi="Helvetica Neue" w:cs="Arial"/>
          <w:b/>
          <w:bCs/>
        </w:rPr>
        <w:t>Distance from Youth Serving Facilities</w:t>
      </w:r>
      <w:r w:rsidRPr="001115C5">
        <w:rPr>
          <w:rFonts w:ascii="Helvetica Neue" w:hAnsi="Helvetica Neue" w:cs="Arial"/>
        </w:rPr>
        <w:t>. Cannabis Retailers are not permitted to operate within 1,000 feet of any school providing instruction in kindergarten or grades 1 through 12, Day Care Centers, parks, playgrounds, Youth Centers, libraries, junior colleges, colleges, or universities. The distance shall be measured by a straight line from the nearest point of the property line of the parcel on which the youth-</w:t>
      </w:r>
      <w:r w:rsidRPr="001115C5">
        <w:rPr>
          <w:rFonts w:ascii="Helvetica Neue" w:hAnsi="Helvetica Neue" w:cs="Arial"/>
        </w:rPr>
        <w:lastRenderedPageBreak/>
        <w:t>serving facility is located to the nearest point of the property line of the parcel on which the Cannabis Retailer’s business is located.</w:t>
      </w:r>
    </w:p>
    <w:p w14:paraId="6074D061" w14:textId="473660BA" w:rsidR="00EB22B8" w:rsidRPr="001115C5" w:rsidRDefault="00EB22B8" w:rsidP="00064063">
      <w:pPr>
        <w:pStyle w:val="ListParagraph"/>
        <w:numPr>
          <w:ilvl w:val="0"/>
          <w:numId w:val="9"/>
        </w:numPr>
        <w:spacing w:after="240"/>
        <w:ind w:left="360"/>
        <w:contextualSpacing w:val="0"/>
        <w:rPr>
          <w:rFonts w:ascii="Helvetica Neue" w:hAnsi="Helvetica Neue" w:cs="Arial"/>
        </w:rPr>
      </w:pPr>
      <w:r w:rsidRPr="001115C5">
        <w:rPr>
          <w:rFonts w:ascii="Helvetica Neue" w:hAnsi="Helvetica Neue" w:cs="Arial"/>
          <w:b/>
          <w:bCs/>
        </w:rPr>
        <w:t>Excessive Density</w:t>
      </w:r>
      <w:r w:rsidRPr="001115C5">
        <w:rPr>
          <w:rFonts w:ascii="Helvetica Neue" w:hAnsi="Helvetica Neue" w:cs="Arial"/>
        </w:rPr>
        <w:t xml:space="preserve">. A permit(s) shall not be issued to authorize Cannabis Retailing if the number of Retailers in the </w:t>
      </w:r>
      <w:r w:rsidR="008B35D9" w:rsidRPr="001115C5">
        <w:rPr>
          <w:rFonts w:ascii="Helvetica Neue" w:hAnsi="Helvetica Neue" w:cs="Arial"/>
          <w:color w:val="FF0000"/>
        </w:rPr>
        <w:t>[City/County]</w:t>
      </w:r>
      <w:r w:rsidRPr="001115C5">
        <w:rPr>
          <w:rFonts w:ascii="Helvetica Neue" w:hAnsi="Helvetica Neue" w:cs="Arial"/>
        </w:rPr>
        <w:t xml:space="preserve"> holding a permit exceeds one (1) Retailer per 19,000 residents. The </w:t>
      </w:r>
      <w:r w:rsidRPr="001115C5">
        <w:rPr>
          <w:rFonts w:ascii="Helvetica Neue" w:hAnsi="Helvetica Neue" w:cs="Arial"/>
          <w:color w:val="FF0000"/>
        </w:rPr>
        <w:t>Department</w:t>
      </w:r>
      <w:r w:rsidRPr="001115C5">
        <w:rPr>
          <w:rFonts w:ascii="Helvetica Neue" w:hAnsi="Helvetica Neue" w:cs="Arial"/>
        </w:rPr>
        <w:t xml:space="preserve"> may grant exemptions to this cap if the distance from a proposed site to the nearest Cannabis Retailer exceeds 25 miles. A permit shall not be issued for a Cannabis Retailer located within 1,000 feet of an existing lawful Cannabis Retailer. The </w:t>
      </w:r>
      <w:r w:rsidRPr="001115C5">
        <w:rPr>
          <w:rFonts w:ascii="Helvetica Neue" w:hAnsi="Helvetica Neue" w:cs="Arial"/>
          <w:color w:val="FF0000"/>
        </w:rPr>
        <w:t>Department</w:t>
      </w:r>
      <w:r w:rsidRPr="001115C5">
        <w:rPr>
          <w:rFonts w:ascii="Helvetica Neue" w:hAnsi="Helvetica Neue" w:cs="Arial"/>
        </w:rPr>
        <w:t xml:space="preserve"> may deny a conditional use permit for a proposed site if permitting it would disproportionately concentrate Cannabis Retailing in the </w:t>
      </w:r>
      <w:r w:rsidR="008B35D9" w:rsidRPr="001115C5">
        <w:rPr>
          <w:rFonts w:ascii="Helvetica Neue" w:hAnsi="Helvetica Neue" w:cs="Arial"/>
          <w:color w:val="FF0000"/>
        </w:rPr>
        <w:t>[City/County]</w:t>
      </w:r>
      <w:r w:rsidRPr="001115C5">
        <w:rPr>
          <w:rFonts w:ascii="Helvetica Neue" w:hAnsi="Helvetica Neue" w:cs="Arial"/>
        </w:rPr>
        <w:t xml:space="preserve"> in or adjacent to low-income communities.</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EB22B8" w:rsidRPr="001115C5" w14:paraId="6518CCB7" w14:textId="77777777" w:rsidTr="00EB22B8">
        <w:tc>
          <w:tcPr>
            <w:tcW w:w="10188" w:type="dxa"/>
            <w:shd w:val="clear" w:color="auto" w:fill="D9D9D9" w:themeFill="background1" w:themeFillShade="D9"/>
          </w:tcPr>
          <w:p w14:paraId="0F5FB113" w14:textId="76F14908" w:rsidR="00EB22B8" w:rsidRPr="001115C5" w:rsidRDefault="00EB22B8" w:rsidP="00EB22B8">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xml:space="preserve">: </w:t>
            </w:r>
            <w:r w:rsidRPr="001115C5">
              <w:rPr>
                <w:rFonts w:ascii="Helvetica Neue" w:hAnsi="Helvetica Neue"/>
              </w:rPr>
              <w:t xml:space="preserve"> </w:t>
            </w:r>
            <w:r w:rsidRPr="001115C5">
              <w:rPr>
                <w:rFonts w:ascii="Helvetica Neue" w:eastAsia="Helvetica Neue" w:hAnsi="Helvetica Neue" w:cs="Arial"/>
              </w:rPr>
              <w:t>State law prohibits licensed premises within a 600-foot radius of any school providing instruction in kindergarten or grades 1 through 12, a Day Care Center, or a Youth Center existing when the license issues (Bus &amp; Prof Code Section 26054). However, the law allows a licensing authority or a local jurisdiction to impose a different radius and to expand the list of youth-serving facilities. We recommend a 1,000-foot buffer, and adding colleges, as they service 18–</w:t>
            </w:r>
            <w:r w:rsidR="009B6E6B" w:rsidRPr="001115C5">
              <w:rPr>
                <w:rFonts w:ascii="Helvetica Neue" w:eastAsia="Helvetica Neue" w:hAnsi="Helvetica Neue" w:cs="Arial"/>
              </w:rPr>
              <w:t>20-year-olds</w:t>
            </w:r>
            <w:r w:rsidRPr="001115C5">
              <w:rPr>
                <w:rFonts w:ascii="Helvetica Neue" w:eastAsia="Helvetica Neue" w:hAnsi="Helvetica Neue" w:cs="Arial"/>
              </w:rPr>
              <w:t>, a group particularly vulnerable to the harms of Cannabis use. We also recognize that some cities/counties may have other locations, such as teen centers, which may not be readily identifiable, in which youth congregate and which should be free of Cannabis Retailers and Advertising, and which you may wish to add. Some jurisdictions include libraries and substance abuse centers. However, if the distance is too great or too many locations are stipulated, this can result in a de facto ban on Cannabis Retailing. Additionally, distance limits may lead to a concentration of Cannabis Retailers in certain parts of a community. Care should be taken that these retailers are not overly concentrated in low-income areas and/or areas populated by people of color. GIS mapping of permissible retail sites in the City/County is a useful tool to ensure youth are protected while allowing the reasonable availability of Cannabis and to assess the optimal buffer for your community.</w:t>
            </w:r>
          </w:p>
        </w:tc>
      </w:tr>
    </w:tbl>
    <w:p w14:paraId="651C7274" w14:textId="45A6456E" w:rsidR="00EB22B8" w:rsidRPr="001115C5" w:rsidRDefault="00EB22B8" w:rsidP="0030006D">
      <w:pPr>
        <w:spacing w:after="240"/>
        <w:rPr>
          <w:rFonts w:ascii="Helvetica Neue" w:hAnsi="Helvetica Neue" w:cs="Arial"/>
        </w:rPr>
      </w:pP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30006D" w:rsidRPr="001115C5" w14:paraId="3B47F8C8" w14:textId="77777777" w:rsidTr="00895773">
        <w:tc>
          <w:tcPr>
            <w:tcW w:w="10188" w:type="dxa"/>
            <w:shd w:val="clear" w:color="auto" w:fill="D9D9D9" w:themeFill="background1" w:themeFillShade="D9"/>
          </w:tcPr>
          <w:p w14:paraId="39E903EA" w14:textId="15B61F64" w:rsidR="0030006D" w:rsidRPr="001115C5" w:rsidRDefault="0030006D" w:rsidP="00895773">
            <w:pPr>
              <w:spacing w:before="240" w:after="120" w:line="360" w:lineRule="auto"/>
              <w:rPr>
                <w:rFonts w:ascii="Helvetica Neue" w:eastAsia="Helvetica Neue" w:hAnsi="Helvetica Neue" w:cs="Arial"/>
              </w:rPr>
            </w:pPr>
            <w:r w:rsidRPr="001115C5">
              <w:rPr>
                <w:rFonts w:ascii="Helvetica Neue" w:eastAsia="Helvetica Neue" w:hAnsi="Helvetica Neue" w:cs="Arial"/>
                <w:b/>
                <w:bCs/>
              </w:rPr>
              <w:lastRenderedPageBreak/>
              <w:t>COMMENT</w:t>
            </w:r>
            <w:r w:rsidRPr="001115C5">
              <w:rPr>
                <w:rFonts w:ascii="Helvetica Neue" w:eastAsia="Helvetica Neue" w:hAnsi="Helvetica Neue" w:cs="Arial"/>
              </w:rPr>
              <w:t xml:space="preserve">: The optimal approach to density will most likely need to be tailored to the community. A simple numeric cap, which could be an absolute </w:t>
            </w:r>
            <w:proofErr w:type="gramStart"/>
            <w:r w:rsidRPr="001115C5">
              <w:rPr>
                <w:rFonts w:ascii="Helvetica Neue" w:eastAsia="Helvetica Neue" w:hAnsi="Helvetica Neue" w:cs="Arial"/>
              </w:rPr>
              <w:t>cap</w:t>
            </w:r>
            <w:proofErr w:type="gramEnd"/>
            <w:r w:rsidRPr="001115C5">
              <w:rPr>
                <w:rFonts w:ascii="Helvetica Neue" w:eastAsia="Helvetica Neue" w:hAnsi="Helvetica Neue" w:cs="Arial"/>
              </w:rPr>
              <w:t xml:space="preserve"> or a cap based on population size (as proposed above), may be a useful starting measure to ensure that only the number of outlets that are needed to serve the local market are permitted, without creating a need for extensive Advertising and Marketing to attract customers from elsewhere. If appropriate, jurisdictions can adjust the cap over time. This provision serves to minimize the visual presence of Cannabis sales in the community. The state of Washington began with a cap </w:t>
            </w:r>
            <w:r w:rsidR="00203AE0">
              <w:rPr>
                <w:rFonts w:ascii="Helvetica Neue" w:eastAsia="Helvetica Neue" w:hAnsi="Helvetica Neue" w:cs="Arial"/>
              </w:rPr>
              <w:t xml:space="preserve">equivalent to </w:t>
            </w:r>
            <w:r w:rsidRPr="001115C5">
              <w:rPr>
                <w:rFonts w:ascii="Helvetica Neue" w:eastAsia="Helvetica Neue" w:hAnsi="Helvetica Neue" w:cs="Arial"/>
              </w:rPr>
              <w:t>one outlet per 22,000 residents based on its past</w:t>
            </w:r>
            <w:r w:rsidR="00203AE0">
              <w:rPr>
                <w:rFonts w:ascii="Helvetica Neue" w:eastAsia="Helvetica Neue" w:hAnsi="Helvetica Neue" w:cs="Arial"/>
              </w:rPr>
              <w:t xml:space="preserve"> alcohol monopoly experience and then raised it slowly</w:t>
            </w:r>
            <w:r w:rsidRPr="001115C5">
              <w:rPr>
                <w:rFonts w:ascii="Helvetica Neue" w:eastAsia="Helvetica Neue" w:hAnsi="Helvetica Neue" w:cs="Arial"/>
              </w:rPr>
              <w:t>.</w:t>
            </w:r>
          </w:p>
        </w:tc>
      </w:tr>
    </w:tbl>
    <w:p w14:paraId="44C47DF6" w14:textId="77777777" w:rsidR="00766F62" w:rsidRPr="001115C5" w:rsidRDefault="0030006D" w:rsidP="00064063">
      <w:pPr>
        <w:pStyle w:val="ListParagraph"/>
        <w:numPr>
          <w:ilvl w:val="0"/>
          <w:numId w:val="9"/>
        </w:numPr>
        <w:spacing w:before="480" w:after="240"/>
        <w:ind w:left="360"/>
        <w:contextualSpacing w:val="0"/>
        <w:rPr>
          <w:rFonts w:ascii="Helvetica Neue" w:hAnsi="Helvetica Neue" w:cs="Arial"/>
        </w:rPr>
      </w:pPr>
      <w:r w:rsidRPr="001115C5">
        <w:rPr>
          <w:rFonts w:ascii="Helvetica Neue" w:hAnsi="Helvetica Neue" w:cs="Arial"/>
          <w:b/>
          <w:bCs/>
        </w:rPr>
        <w:t>Independent Access</w:t>
      </w:r>
      <w:r w:rsidRPr="001115C5">
        <w:rPr>
          <w:rFonts w:ascii="Helvetica Neue" w:hAnsi="Helvetica Neue" w:cs="Arial"/>
        </w:rPr>
        <w:t>. A permit shall not be issued to a Cannabis Retailer who proposes or shares an entryway with a holder of a license to sell tobacco or alcohol; a purveyor of food; or a pharmacy. Nor shall a permit be issued for a Cannabis Retailer who proposes to locate in an enclosed mall.</w:t>
      </w:r>
    </w:p>
    <w:p w14:paraId="16C25FFC" w14:textId="4CE33DBE" w:rsidR="0030006D" w:rsidRPr="001115C5" w:rsidRDefault="0030006D" w:rsidP="00064063">
      <w:pPr>
        <w:pStyle w:val="ListParagraph"/>
        <w:numPr>
          <w:ilvl w:val="0"/>
          <w:numId w:val="9"/>
        </w:numPr>
        <w:spacing w:after="240"/>
        <w:ind w:left="360"/>
        <w:contextualSpacing w:val="0"/>
        <w:rPr>
          <w:rFonts w:ascii="Helvetica Neue" w:hAnsi="Helvetica Neue" w:cs="Arial"/>
        </w:rPr>
      </w:pPr>
      <w:r w:rsidRPr="001115C5">
        <w:rPr>
          <w:rFonts w:ascii="Helvetica Neue" w:hAnsi="Helvetica Neue" w:cs="Arial"/>
          <w:b/>
          <w:bCs/>
        </w:rPr>
        <w:t>Specialized Business</w:t>
      </w:r>
      <w:r w:rsidRPr="001115C5">
        <w:rPr>
          <w:rFonts w:ascii="Helvetica Neue" w:hAnsi="Helvetica Neue" w:cs="Arial"/>
        </w:rPr>
        <w:t xml:space="preserve">. Permittees shall sell only Cannabis and Cannabis Products produced and distributed by persons licensed by the State of California, and Cannabis Accessories. They may not sell or distribute other goods, including without limitation, food, tobacco products, alcoholic beverages, non-Cannabis medicines or supplements, clothing or other merchandise, whether branded or unbranded. The owner(s) of Cannabis Retailer shall not hold or maintain a permit as a food service establishment or cottage food establishment from </w:t>
      </w:r>
      <w:r w:rsidR="008B35D9" w:rsidRPr="001115C5">
        <w:rPr>
          <w:rFonts w:ascii="Helvetica Neue" w:hAnsi="Helvetica Neue" w:cs="Arial"/>
          <w:color w:val="FF0000"/>
        </w:rPr>
        <w:t>[City/County]</w:t>
      </w:r>
      <w:r w:rsidRPr="001115C5">
        <w:rPr>
          <w:rFonts w:ascii="Helvetica Neue" w:hAnsi="Helvetica Neue" w:cs="Arial"/>
        </w:rPr>
        <w:t xml:space="preserve"> operating within 1,000 feet of the Cannabis establishment. The owner(s) of a Cannabis Retailer may not hold or maintain a license from the State Department of Alcohol Beverage Control to sell alcoholic beverages or operate a business that sells alcoholic beverages within 1,000 feet of their Cannabis establishment. A Cannabis Retailer may not hold or maintain a state or local license to sell tobacco products. No permit may issue to authorize Cannabis sales in a Pharmacy.</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30006D" w:rsidRPr="001115C5" w14:paraId="682B61EF" w14:textId="77777777" w:rsidTr="00895773">
        <w:tc>
          <w:tcPr>
            <w:tcW w:w="10188" w:type="dxa"/>
            <w:shd w:val="clear" w:color="auto" w:fill="D9D9D9" w:themeFill="background1" w:themeFillShade="D9"/>
          </w:tcPr>
          <w:p w14:paraId="08A62022" w14:textId="2896501B" w:rsidR="0030006D" w:rsidRPr="001115C5" w:rsidRDefault="0030006D" w:rsidP="00895773">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Prohibiting sales of Cannabis with tobacco, alcohol, food and pharmaceuticals aims to reduce incorporation of Cannabis into social norms of acceptable behavior (</w:t>
            </w:r>
            <w:proofErr w:type="gramStart"/>
            <w:r w:rsidRPr="001115C5">
              <w:rPr>
                <w:rFonts w:ascii="Helvetica Neue" w:eastAsia="Helvetica Neue" w:hAnsi="Helvetica Neue" w:cs="Arial"/>
              </w:rPr>
              <w:t>e.g.</w:t>
            </w:r>
            <w:proofErr w:type="gramEnd"/>
            <w:r w:rsidRPr="001115C5">
              <w:rPr>
                <w:rFonts w:ascii="Helvetica Neue" w:eastAsia="Helvetica Neue" w:hAnsi="Helvetica Neue" w:cs="Arial"/>
              </w:rPr>
              <w:t xml:space="preserve"> eating out) or routine shopping. Sale by tobacco and alcohol licensees is prohibited by state law. This language adds the prohibition on food sales or co-location in a pharmacy; the latter is similar to the effort to </w:t>
            </w:r>
            <w:r w:rsidRPr="001115C5">
              <w:rPr>
                <w:rFonts w:ascii="Helvetica Neue" w:eastAsia="Helvetica Neue" w:hAnsi="Helvetica Neue" w:cs="Arial"/>
              </w:rPr>
              <w:lastRenderedPageBreak/>
              <w:t>get tobacco out of pharmacies. This is already covered to a large extent by BCC §5025 however including this in local law protects against new regulatory shifts at the state level.</w:t>
            </w:r>
          </w:p>
        </w:tc>
      </w:tr>
    </w:tbl>
    <w:p w14:paraId="2A6E8E61" w14:textId="098CB273" w:rsidR="0030006D" w:rsidRPr="001115C5" w:rsidRDefault="0030006D" w:rsidP="00766F62">
      <w:pPr>
        <w:pStyle w:val="Heading3"/>
        <w:spacing w:before="480" w:after="240"/>
        <w:rPr>
          <w:rFonts w:ascii="Helvetica Neue" w:hAnsi="Helvetica Neue"/>
        </w:rPr>
      </w:pPr>
      <w:bookmarkStart w:id="14" w:name="_Toc65578299"/>
      <w:r w:rsidRPr="001115C5">
        <w:rPr>
          <w:rFonts w:ascii="Helvetica Neue" w:hAnsi="Helvetica Neue"/>
        </w:rPr>
        <w:lastRenderedPageBreak/>
        <w:t>Section G. PROHIBITED PRODUCT TYPES</w:t>
      </w:r>
      <w:bookmarkEnd w:id="14"/>
    </w:p>
    <w:p w14:paraId="528C4F02" w14:textId="77777777" w:rsidR="00766F62" w:rsidRPr="001115C5" w:rsidRDefault="0030006D" w:rsidP="00064063">
      <w:pPr>
        <w:pStyle w:val="ListParagraph"/>
        <w:numPr>
          <w:ilvl w:val="0"/>
          <w:numId w:val="10"/>
        </w:numPr>
        <w:spacing w:after="240"/>
        <w:ind w:left="360"/>
        <w:contextualSpacing w:val="0"/>
        <w:rPr>
          <w:rFonts w:ascii="Helvetica Neue" w:hAnsi="Helvetica Neue" w:cs="Arial"/>
        </w:rPr>
      </w:pPr>
      <w:r w:rsidRPr="001115C5">
        <w:rPr>
          <w:rFonts w:ascii="Helvetica Neue" w:hAnsi="Helvetica Neue" w:cs="Arial"/>
        </w:rPr>
        <w:t xml:space="preserve">Prohibited Product Types. It shall be a violation of this </w:t>
      </w:r>
      <w:r w:rsidR="008B35D9" w:rsidRPr="001115C5">
        <w:rPr>
          <w:rFonts w:ascii="Helvetica Neue" w:hAnsi="Helvetica Neue" w:cs="Arial"/>
          <w:color w:val="FF0000"/>
        </w:rPr>
        <w:t>[Article/Chapter]</w:t>
      </w:r>
      <w:r w:rsidRPr="001115C5">
        <w:rPr>
          <w:rFonts w:ascii="Helvetica Neue" w:hAnsi="Helvetica Neue" w:cs="Arial"/>
        </w:rPr>
        <w:t xml:space="preserve"> for any Cannabis Retailer or any of the Cannabis Retailer’s agents or employees to sell, offer for sale, or to possess with intent to sell:</w:t>
      </w:r>
    </w:p>
    <w:p w14:paraId="2C7F560F" w14:textId="77777777" w:rsidR="00766F62" w:rsidRPr="001115C5" w:rsidRDefault="0030006D" w:rsidP="00064063">
      <w:pPr>
        <w:pStyle w:val="ListParagraph"/>
        <w:numPr>
          <w:ilvl w:val="0"/>
          <w:numId w:val="11"/>
        </w:numPr>
        <w:spacing w:after="240"/>
        <w:ind w:left="792"/>
        <w:contextualSpacing w:val="0"/>
        <w:rPr>
          <w:rFonts w:ascii="Helvetica Neue" w:hAnsi="Helvetica Neue" w:cs="Arial"/>
        </w:rPr>
      </w:pPr>
      <w:r w:rsidRPr="001115C5">
        <w:rPr>
          <w:rFonts w:ascii="Helvetica Neue" w:hAnsi="Helvetica Neue" w:cs="Arial"/>
        </w:rPr>
        <w:t xml:space="preserve">Any Cannabis or Cannabis Product that is Attractive to </w:t>
      </w:r>
      <w:proofErr w:type="gramStart"/>
      <w:r w:rsidRPr="001115C5">
        <w:rPr>
          <w:rFonts w:ascii="Helvetica Neue" w:hAnsi="Helvetica Neue" w:cs="Arial"/>
        </w:rPr>
        <w:t>Youth;</w:t>
      </w:r>
      <w:proofErr w:type="gramEnd"/>
    </w:p>
    <w:p w14:paraId="37389CB4" w14:textId="77777777" w:rsidR="00766F62" w:rsidRPr="001115C5" w:rsidRDefault="0030006D" w:rsidP="00064063">
      <w:pPr>
        <w:pStyle w:val="ListParagraph"/>
        <w:numPr>
          <w:ilvl w:val="0"/>
          <w:numId w:val="11"/>
        </w:numPr>
        <w:spacing w:after="240"/>
        <w:ind w:left="792"/>
        <w:contextualSpacing w:val="0"/>
        <w:rPr>
          <w:rFonts w:ascii="Helvetica Neue" w:hAnsi="Helvetica Neue" w:cs="Arial"/>
        </w:rPr>
      </w:pPr>
      <w:r w:rsidRPr="001115C5">
        <w:rPr>
          <w:rFonts w:ascii="Helvetica Neue" w:hAnsi="Helvetica Neue" w:cs="Arial"/>
        </w:rPr>
        <w:t xml:space="preserve">Dried Cannabis that contains: </w:t>
      </w:r>
    </w:p>
    <w:p w14:paraId="650048DA" w14:textId="77777777" w:rsidR="00766F62" w:rsidRPr="001115C5" w:rsidRDefault="0030006D" w:rsidP="00064063">
      <w:pPr>
        <w:pStyle w:val="ListParagraph"/>
        <w:numPr>
          <w:ilvl w:val="1"/>
          <w:numId w:val="11"/>
        </w:numPr>
        <w:spacing w:after="240"/>
        <w:ind w:left="1224"/>
        <w:contextualSpacing w:val="0"/>
        <w:rPr>
          <w:rFonts w:ascii="Helvetica Neue" w:hAnsi="Helvetica Neue" w:cs="Arial"/>
        </w:rPr>
      </w:pPr>
      <w:r w:rsidRPr="001115C5">
        <w:rPr>
          <w:rFonts w:ascii="Helvetica Neue" w:hAnsi="Helvetica Neue" w:cs="Arial"/>
        </w:rPr>
        <w:t>Potency in excess of 20% THC content.</w:t>
      </w:r>
    </w:p>
    <w:p w14:paraId="21C7702D" w14:textId="77777777" w:rsidR="00766F62" w:rsidRPr="001115C5" w:rsidRDefault="0030006D" w:rsidP="00064063">
      <w:pPr>
        <w:pStyle w:val="ListParagraph"/>
        <w:numPr>
          <w:ilvl w:val="1"/>
          <w:numId w:val="11"/>
        </w:numPr>
        <w:spacing w:after="240"/>
        <w:ind w:left="1224"/>
        <w:contextualSpacing w:val="0"/>
        <w:rPr>
          <w:rFonts w:ascii="Helvetica Neue" w:hAnsi="Helvetica Neue" w:cs="Arial"/>
        </w:rPr>
      </w:pPr>
      <w:r w:rsidRPr="001115C5">
        <w:rPr>
          <w:rFonts w:ascii="Helvetica Neue" w:hAnsi="Helvetica Neue" w:cs="Arial"/>
        </w:rPr>
        <w:t>Any Characterizing Flavor added following harvest of the Cannabis plant; or</w:t>
      </w:r>
    </w:p>
    <w:p w14:paraId="2792976A" w14:textId="77777777" w:rsidR="00766F62" w:rsidRPr="001115C5" w:rsidRDefault="0030006D" w:rsidP="00064063">
      <w:pPr>
        <w:pStyle w:val="ListParagraph"/>
        <w:numPr>
          <w:ilvl w:val="1"/>
          <w:numId w:val="11"/>
        </w:numPr>
        <w:spacing w:after="240"/>
        <w:ind w:left="1224"/>
        <w:contextualSpacing w:val="0"/>
        <w:rPr>
          <w:rFonts w:ascii="Helvetica Neue" w:hAnsi="Helvetica Neue" w:cs="Arial"/>
        </w:rPr>
      </w:pPr>
      <w:r w:rsidRPr="001115C5">
        <w:rPr>
          <w:rFonts w:ascii="Helvetica Neue" w:hAnsi="Helvetica Neue" w:cs="Arial"/>
        </w:rPr>
        <w:t>Any Cannabis Concentrate added following the harvest of the Cannabis plant.</w:t>
      </w:r>
    </w:p>
    <w:p w14:paraId="56A275F3" w14:textId="77777777" w:rsidR="005C2C08" w:rsidRPr="001115C5" w:rsidRDefault="0030006D" w:rsidP="00064063">
      <w:pPr>
        <w:pStyle w:val="ListParagraph"/>
        <w:numPr>
          <w:ilvl w:val="0"/>
          <w:numId w:val="11"/>
        </w:numPr>
        <w:spacing w:after="240"/>
        <w:ind w:left="792"/>
        <w:contextualSpacing w:val="0"/>
        <w:rPr>
          <w:rFonts w:ascii="Helvetica Neue" w:hAnsi="Helvetica Neue" w:cs="Arial"/>
        </w:rPr>
      </w:pPr>
      <w:r w:rsidRPr="001115C5">
        <w:rPr>
          <w:rFonts w:ascii="Helvetica Neue" w:hAnsi="Helvetica Neue" w:cs="Arial"/>
        </w:rPr>
        <w:t>Pre-rolled products containing dried Cannabis that contain:</w:t>
      </w:r>
    </w:p>
    <w:p w14:paraId="5C45C206" w14:textId="77777777" w:rsidR="005C2C08" w:rsidRPr="001115C5" w:rsidRDefault="0030006D" w:rsidP="00064063">
      <w:pPr>
        <w:pStyle w:val="ListParagraph"/>
        <w:numPr>
          <w:ilvl w:val="1"/>
          <w:numId w:val="11"/>
        </w:numPr>
        <w:spacing w:after="240"/>
        <w:ind w:left="1224"/>
        <w:contextualSpacing w:val="0"/>
        <w:rPr>
          <w:rFonts w:ascii="Helvetica Neue" w:hAnsi="Helvetica Neue" w:cs="Arial"/>
        </w:rPr>
      </w:pPr>
      <w:r w:rsidRPr="001115C5">
        <w:rPr>
          <w:rFonts w:ascii="Helvetica Neue" w:hAnsi="Helvetica Neue" w:cs="Arial"/>
        </w:rPr>
        <w:t>Any added Characterizing Flavor, including products rolled using flavored wrappers; or</w:t>
      </w:r>
    </w:p>
    <w:p w14:paraId="2FA307F7" w14:textId="77777777" w:rsidR="005C2C08" w:rsidRPr="001115C5" w:rsidRDefault="0030006D" w:rsidP="00064063">
      <w:pPr>
        <w:pStyle w:val="ListParagraph"/>
        <w:numPr>
          <w:ilvl w:val="1"/>
          <w:numId w:val="11"/>
        </w:numPr>
        <w:spacing w:after="240"/>
        <w:ind w:left="1224"/>
        <w:contextualSpacing w:val="0"/>
        <w:rPr>
          <w:rFonts w:ascii="Helvetica Neue" w:hAnsi="Helvetica Neue" w:cs="Arial"/>
        </w:rPr>
      </w:pPr>
      <w:r w:rsidRPr="001115C5">
        <w:rPr>
          <w:rFonts w:ascii="Helvetica Neue" w:hAnsi="Helvetica Neue" w:cs="Arial"/>
        </w:rPr>
        <w:t>Any added Cannabis Concentrate</w:t>
      </w:r>
    </w:p>
    <w:p w14:paraId="41193226" w14:textId="77777777" w:rsidR="005C2C08" w:rsidRPr="001115C5" w:rsidRDefault="0030006D" w:rsidP="00064063">
      <w:pPr>
        <w:pStyle w:val="ListParagraph"/>
        <w:numPr>
          <w:ilvl w:val="0"/>
          <w:numId w:val="11"/>
        </w:numPr>
        <w:spacing w:after="240"/>
        <w:ind w:left="792"/>
        <w:contextualSpacing w:val="0"/>
        <w:rPr>
          <w:rFonts w:ascii="Helvetica Neue" w:hAnsi="Helvetica Neue" w:cs="Arial"/>
        </w:rPr>
      </w:pPr>
      <w:r w:rsidRPr="001115C5">
        <w:rPr>
          <w:rFonts w:ascii="Helvetica Neue" w:hAnsi="Helvetica Neue" w:cs="Arial"/>
        </w:rPr>
        <w:t>Cannabis Concentrates that contain:</w:t>
      </w:r>
    </w:p>
    <w:p w14:paraId="63874DE2" w14:textId="77777777" w:rsidR="005C2C08" w:rsidRPr="001115C5" w:rsidRDefault="0030006D" w:rsidP="00064063">
      <w:pPr>
        <w:pStyle w:val="ListParagraph"/>
        <w:numPr>
          <w:ilvl w:val="1"/>
          <w:numId w:val="11"/>
        </w:numPr>
        <w:spacing w:after="240"/>
        <w:ind w:left="1224"/>
        <w:contextualSpacing w:val="0"/>
        <w:rPr>
          <w:rFonts w:ascii="Helvetica Neue" w:hAnsi="Helvetica Neue" w:cs="Arial"/>
        </w:rPr>
      </w:pPr>
      <w:r w:rsidRPr="001115C5">
        <w:rPr>
          <w:rFonts w:ascii="Helvetica Neue" w:hAnsi="Helvetica Neue" w:cs="Arial"/>
        </w:rPr>
        <w:t>A Characterizing Flavor</w:t>
      </w:r>
    </w:p>
    <w:p w14:paraId="3E775AA9" w14:textId="77777777" w:rsidR="005C2C08" w:rsidRPr="001115C5" w:rsidRDefault="0030006D" w:rsidP="00064063">
      <w:pPr>
        <w:pStyle w:val="ListParagraph"/>
        <w:numPr>
          <w:ilvl w:val="1"/>
          <w:numId w:val="11"/>
        </w:numPr>
        <w:spacing w:after="240"/>
        <w:ind w:left="1224"/>
        <w:contextualSpacing w:val="0"/>
        <w:rPr>
          <w:rFonts w:ascii="Helvetica Neue" w:hAnsi="Helvetica Neue" w:cs="Arial"/>
        </w:rPr>
      </w:pPr>
      <w:r w:rsidRPr="001115C5">
        <w:rPr>
          <w:rFonts w:ascii="Helvetica Neue" w:hAnsi="Helvetica Neue" w:cs="Arial"/>
        </w:rPr>
        <w:t>Greater than 50% THC when intended for inhalation and:</w:t>
      </w:r>
    </w:p>
    <w:p w14:paraId="03C9F6DA" w14:textId="77777777" w:rsidR="005C2C08" w:rsidRPr="001115C5" w:rsidRDefault="0030006D" w:rsidP="00064063">
      <w:pPr>
        <w:pStyle w:val="ListParagraph"/>
        <w:numPr>
          <w:ilvl w:val="2"/>
          <w:numId w:val="11"/>
        </w:numPr>
        <w:spacing w:after="240"/>
        <w:ind w:left="1620" w:hanging="324"/>
        <w:contextualSpacing w:val="0"/>
        <w:rPr>
          <w:rFonts w:ascii="Helvetica Neue" w:hAnsi="Helvetica Neue" w:cs="Arial"/>
        </w:rPr>
      </w:pPr>
      <w:r w:rsidRPr="001115C5">
        <w:rPr>
          <w:rFonts w:ascii="Helvetica Neue" w:hAnsi="Helvetica Neue" w:cs="Arial"/>
        </w:rPr>
        <w:t xml:space="preserve">Sold in a container that the user can open and directly contact the Cannabis </w:t>
      </w:r>
      <w:proofErr w:type="gramStart"/>
      <w:r w:rsidRPr="001115C5">
        <w:rPr>
          <w:rFonts w:ascii="Helvetica Neue" w:hAnsi="Helvetica Neue" w:cs="Arial"/>
        </w:rPr>
        <w:t>Concentrate;</w:t>
      </w:r>
      <w:proofErr w:type="gramEnd"/>
    </w:p>
    <w:p w14:paraId="33EA37B1" w14:textId="77777777" w:rsidR="005C2C08" w:rsidRPr="001115C5" w:rsidRDefault="0030006D" w:rsidP="00064063">
      <w:pPr>
        <w:pStyle w:val="ListParagraph"/>
        <w:numPr>
          <w:ilvl w:val="2"/>
          <w:numId w:val="11"/>
        </w:numPr>
        <w:spacing w:after="240"/>
        <w:ind w:left="1620" w:hanging="324"/>
        <w:contextualSpacing w:val="0"/>
        <w:rPr>
          <w:rFonts w:ascii="Helvetica Neue" w:hAnsi="Helvetica Neue" w:cs="Arial"/>
        </w:rPr>
      </w:pPr>
      <w:r w:rsidRPr="001115C5">
        <w:rPr>
          <w:rFonts w:ascii="Helvetica Neue" w:hAnsi="Helvetica Neue" w:cs="Arial"/>
        </w:rPr>
        <w:t>Sold in a prepackaged vaporizer cartridge that is not solely compatible with a device that ensures metered dosing of 5mg or less delta-9 THC; or</w:t>
      </w:r>
    </w:p>
    <w:p w14:paraId="2EB473A3" w14:textId="7FC14111" w:rsidR="0030006D" w:rsidRPr="001115C5" w:rsidRDefault="0030006D" w:rsidP="00064063">
      <w:pPr>
        <w:pStyle w:val="ListParagraph"/>
        <w:numPr>
          <w:ilvl w:val="2"/>
          <w:numId w:val="11"/>
        </w:numPr>
        <w:spacing w:after="240"/>
        <w:ind w:left="1620" w:hanging="324"/>
        <w:contextualSpacing w:val="0"/>
        <w:rPr>
          <w:rFonts w:ascii="Helvetica Neue" w:hAnsi="Helvetica Neue" w:cs="Arial"/>
        </w:rPr>
      </w:pPr>
      <w:r w:rsidRPr="001115C5">
        <w:rPr>
          <w:rFonts w:ascii="Helvetica Neue" w:hAnsi="Helvetica Neue" w:cs="Arial"/>
        </w:rPr>
        <w:t>Sold in a prepackaged vaporizer device that does not ensure metered dosing of 5mg or less delta-9 THC.</w:t>
      </w:r>
    </w:p>
    <w:p w14:paraId="7DB2EE67" w14:textId="77777777" w:rsidR="005C2C08" w:rsidRPr="001115C5" w:rsidRDefault="0030006D" w:rsidP="00064063">
      <w:pPr>
        <w:pStyle w:val="ListParagraph"/>
        <w:numPr>
          <w:ilvl w:val="0"/>
          <w:numId w:val="11"/>
        </w:numPr>
        <w:spacing w:after="240"/>
        <w:ind w:left="792"/>
        <w:contextualSpacing w:val="0"/>
        <w:rPr>
          <w:rFonts w:ascii="Helvetica Neue" w:hAnsi="Helvetica Neue" w:cs="Arial"/>
        </w:rPr>
      </w:pPr>
      <w:r w:rsidRPr="001115C5">
        <w:rPr>
          <w:rFonts w:ascii="Helvetica Neue" w:hAnsi="Helvetica Neue" w:cs="Arial"/>
        </w:rPr>
        <w:t>When intended for adult-use oral consumption, that exceed 10 mg per capsule or tablet.</w:t>
      </w:r>
    </w:p>
    <w:p w14:paraId="51A38159" w14:textId="25A673BD" w:rsidR="0030006D" w:rsidRPr="001115C5" w:rsidRDefault="0030006D" w:rsidP="00064063">
      <w:pPr>
        <w:pStyle w:val="ListParagraph"/>
        <w:numPr>
          <w:ilvl w:val="0"/>
          <w:numId w:val="11"/>
        </w:numPr>
        <w:spacing w:after="240"/>
        <w:ind w:left="792"/>
        <w:contextualSpacing w:val="0"/>
        <w:rPr>
          <w:rFonts w:ascii="Helvetica Neue" w:hAnsi="Helvetica Neue" w:cs="Arial"/>
        </w:rPr>
      </w:pPr>
      <w:r w:rsidRPr="001115C5">
        <w:rPr>
          <w:rFonts w:ascii="Helvetica Neue" w:hAnsi="Helvetica Neue" w:cs="Arial"/>
          <w:b/>
          <w:bCs/>
        </w:rPr>
        <w:lastRenderedPageBreak/>
        <w:t>OPTION: Prohibition on Cannabis Concentrates Intended for Inhalation</w:t>
      </w:r>
      <w:r w:rsidRPr="001115C5">
        <w:rPr>
          <w:rFonts w:ascii="Helvetica Neue" w:hAnsi="Helvetica Neue" w:cs="Arial"/>
        </w:rPr>
        <w:t>. No Cannabis Retailer may sell, offer for sale, or exchange or offer to exchange for any form of consideration, to a Consumer, any Cannabis Concentrate intended for inhalation.</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30006D" w:rsidRPr="001115C5" w14:paraId="1397D746" w14:textId="77777777" w:rsidTr="00895773">
        <w:tc>
          <w:tcPr>
            <w:tcW w:w="10188" w:type="dxa"/>
            <w:shd w:val="clear" w:color="auto" w:fill="D9D9D9" w:themeFill="background1" w:themeFillShade="D9"/>
          </w:tcPr>
          <w:p w14:paraId="4963BDEB" w14:textId="13C0F6D1" w:rsidR="0030006D" w:rsidRPr="00CE4BA1" w:rsidRDefault="0030006D" w:rsidP="00F945AE">
            <w:pPr>
              <w:spacing w:before="240" w:after="120" w:line="360" w:lineRule="auto"/>
              <w:rPr>
                <w:rFonts w:ascii="Helvetica Neue" w:eastAsia="Helvetica Neue" w:hAnsi="Helvetica Neue" w:cs="Arial"/>
              </w:rPr>
            </w:pPr>
            <w:r w:rsidRPr="00CE4BA1">
              <w:rPr>
                <w:rFonts w:ascii="Helvetica Neue" w:eastAsia="Helvetica Neue" w:hAnsi="Helvetica Neue" w:cs="Arial"/>
                <w:b/>
                <w:bCs/>
              </w:rPr>
              <w:t>COMMENT</w:t>
            </w:r>
            <w:r w:rsidRPr="00CE4BA1">
              <w:rPr>
                <w:rFonts w:ascii="Helvetica Neue" w:eastAsia="Helvetica Neue" w:hAnsi="Helvetica Neue" w:cs="Arial"/>
              </w:rPr>
              <w:t xml:space="preserve">: This provision seeks to reduce the proliferation of a wide and new range of products that are more likely to attract youth or harm consumers. The science, on balance, of the safety effects of traditionally smoked </w:t>
            </w:r>
            <w:r w:rsidR="00203AE0" w:rsidRPr="00CE4BA1">
              <w:rPr>
                <w:rFonts w:ascii="Helvetica Neue" w:eastAsia="Helvetica Neue" w:hAnsi="Helvetica Neue" w:cs="Arial"/>
              </w:rPr>
              <w:t xml:space="preserve">lower potency </w:t>
            </w:r>
            <w:r w:rsidRPr="00CE4BA1">
              <w:rPr>
                <w:rFonts w:ascii="Helvetica Neue" w:eastAsia="Helvetica Neue" w:hAnsi="Helvetica Neue" w:cs="Arial"/>
              </w:rPr>
              <w:t xml:space="preserve">flower versus the burgeoning market of high potency concentrates for inhalation, including without limitation dabbing and vaping, is still emerging. The effects on increase of youth initiation must be weighed against potential greater safety for heavy users (which is also still unproven). The previous section sought to mitigate these risks through prohibitions on flavors that attract youth, caps on potency, and requirements for metered dosing. At least one jurisdiction has opted to prohibit all Cannabis Products intended for </w:t>
            </w:r>
            <w:proofErr w:type="gramStart"/>
            <w:r w:rsidRPr="00CE4BA1">
              <w:rPr>
                <w:rFonts w:ascii="Helvetica Neue" w:eastAsia="Helvetica Neue" w:hAnsi="Helvetica Neue" w:cs="Arial"/>
              </w:rPr>
              <w:t>vaporization</w:t>
            </w:r>
            <w:proofErr w:type="gramEnd"/>
            <w:r w:rsidRPr="00CE4BA1">
              <w:rPr>
                <w:rFonts w:ascii="Helvetica Neue" w:eastAsia="Helvetica Neue" w:hAnsi="Helvetica Neue" w:cs="Arial"/>
              </w:rPr>
              <w:t xml:space="preserve"> but the best approach remains uncertain. This would essentially restrict the market to traditional smoked Cannabis flower, edibles and topicals.</w:t>
            </w:r>
          </w:p>
          <w:p w14:paraId="61628CE0" w14:textId="364DA558" w:rsidR="0030006D" w:rsidRPr="00CE4BA1" w:rsidRDefault="0030006D" w:rsidP="00F945AE">
            <w:pPr>
              <w:spacing w:before="120" w:after="120" w:line="360" w:lineRule="auto"/>
              <w:rPr>
                <w:rFonts w:ascii="Helvetica Neue" w:eastAsia="Helvetica Neue" w:hAnsi="Helvetica Neue" w:cs="Arial"/>
              </w:rPr>
            </w:pPr>
            <w:r w:rsidRPr="00CE4BA1">
              <w:rPr>
                <w:rFonts w:ascii="Helvetica Neue" w:eastAsia="Helvetica Neue" w:hAnsi="Helvetica Neue" w:cs="Arial"/>
              </w:rPr>
              <w:t>It is intended to assist localities in limiting (a) the use of high-potency products whose safety is poorly understood in contrast to traditional cannabis, and (b) to reduce the proliferation of Cannabis and Edible products with Characterizing Flavors that are well known to attract youth, while still permitting a reasonable but limited selection of products for adult Edible and vaping alternatives to smoking.</w:t>
            </w:r>
          </w:p>
          <w:p w14:paraId="5BCCFE07" w14:textId="7A9C9373" w:rsidR="00F945AE" w:rsidRPr="00CE4BA1" w:rsidRDefault="00F945AE" w:rsidP="00F945AE">
            <w:pPr>
              <w:pStyle w:val="ListParagraph"/>
              <w:numPr>
                <w:ilvl w:val="0"/>
                <w:numId w:val="30"/>
              </w:numPr>
              <w:spacing w:line="360" w:lineRule="auto"/>
              <w:ind w:left="0"/>
              <w:jc w:val="both"/>
              <w:rPr>
                <w:rFonts w:ascii="Helvetica Neue" w:hAnsi="Helvetica Neue" w:cstheme="majorHAnsi"/>
                <w:sz w:val="24"/>
                <w:szCs w:val="24"/>
              </w:rPr>
            </w:pPr>
            <w:r w:rsidRPr="00CE4BA1">
              <w:rPr>
                <w:rFonts w:ascii="Helvetica Neue" w:hAnsi="Helvetica Neue" w:cstheme="majorHAnsi"/>
                <w:color w:val="000000" w:themeColor="text1"/>
                <w:sz w:val="24"/>
                <w:szCs w:val="24"/>
              </w:rPr>
              <w:t xml:space="preserve">Overall extensive experience from other industries, most notably tobacco, and emerging cannabis data, show that the addition of flavors to products can increase overall consumption, and is especially appealing to teens and youth at least through age 24, the period when initiating cannabis use holds the greatest hazards for the developing brain, academic achievement and psychosis development. Because of this, the federal Tobacco Control Act includes a ‘‘Special Rule for Cigarettes,’’ which prohibits cigarettes from containing characterizing flavors other than tobacco or menthol (section 907(a)(1)(A)). The statute also authorized the FDA to issue additional product standards, including to address flavors in tobacco products (see section 907(a)(3)). In 2020 </w:t>
            </w:r>
            <w:r w:rsidR="00F14A92" w:rsidRPr="00CE4BA1">
              <w:rPr>
                <w:rFonts w:ascii="Helvetica Neue" w:hAnsi="Helvetica Neue" w:cstheme="majorHAnsi"/>
                <w:color w:val="000000" w:themeColor="text1"/>
                <w:sz w:val="24"/>
                <w:szCs w:val="24"/>
              </w:rPr>
              <w:t xml:space="preserve">During </w:t>
            </w:r>
            <w:r w:rsidR="00F14A92" w:rsidRPr="00CE4BA1">
              <w:rPr>
                <w:rFonts w:ascii="Helvetica Neue" w:hAnsi="Helvetica Neue" w:cstheme="majorHAnsi"/>
                <w:color w:val="000000" w:themeColor="text1"/>
                <w:sz w:val="24"/>
                <w:szCs w:val="24"/>
              </w:rPr>
              <w:lastRenderedPageBreak/>
              <w:t>cannabis regulation development in California, health organizations submitted comments to CDPH, based on this extensive evidence, requesting that flavored products not be permitted. The comments were not adopted, despite the CDPH’s strong leadership on ending flavored tobacco, and recognition that vaping, often driven by flavored products, doubled for both cannabis and tobacco between 2017 and 2018 alone. An additional issue with cannabis products is the extensive use of marketing tools and naming that implies flavors in strain names even when not present (</w:t>
            </w:r>
            <w:proofErr w:type="gramStart"/>
            <w:r w:rsidR="00F14A92" w:rsidRPr="00CE4BA1">
              <w:rPr>
                <w:rFonts w:ascii="Helvetica Neue" w:hAnsi="Helvetica Neue" w:cstheme="majorHAnsi"/>
                <w:color w:val="000000" w:themeColor="text1"/>
                <w:sz w:val="24"/>
                <w:szCs w:val="24"/>
              </w:rPr>
              <w:t>e.g.</w:t>
            </w:r>
            <w:proofErr w:type="gramEnd"/>
            <w:r w:rsidR="00F14A92" w:rsidRPr="00CE4BA1">
              <w:rPr>
                <w:rFonts w:ascii="Helvetica Neue" w:hAnsi="Helvetica Neue" w:cstheme="majorHAnsi"/>
                <w:color w:val="000000" w:themeColor="text1"/>
                <w:sz w:val="24"/>
                <w:szCs w:val="24"/>
              </w:rPr>
              <w:t xml:space="preserve">” Girl Scout Cookie”). In August 2020, the California State Legislature passed SB 793, banning flavored tobacco products, with enthusiastic support of Governor Newsom. </w:t>
            </w:r>
            <w:r w:rsidRPr="00CE4BA1">
              <w:rPr>
                <w:rFonts w:ascii="Helvetica Neue" w:hAnsi="Helvetica Neue" w:cstheme="majorHAnsi"/>
                <w:sz w:val="24"/>
                <w:szCs w:val="24"/>
              </w:rPr>
              <w:t>Studies from tobacco science indicate that youth and young adults who have ever used e-cigs begin their use with sweet flavors rather than tobacco flavors, and 81.5% of current youth e-cig users said they used e-cigs “because they come in flavors I like.”</w:t>
            </w:r>
            <w:r w:rsidR="00F247F7">
              <w:rPr>
                <w:rStyle w:val="FootnoteReference"/>
                <w:rFonts w:ascii="Helvetica Neue" w:hAnsi="Helvetica Neue" w:cstheme="majorHAnsi"/>
                <w:sz w:val="24"/>
                <w:szCs w:val="24"/>
              </w:rPr>
              <w:footnoteReference w:id="84"/>
            </w:r>
            <w:r w:rsidRPr="00CE4BA1">
              <w:rPr>
                <w:rFonts w:ascii="Helvetica Neue" w:hAnsi="Helvetica Neue" w:cstheme="majorHAnsi"/>
                <w:sz w:val="24"/>
                <w:szCs w:val="24"/>
              </w:rPr>
              <w:t xml:space="preserve">  A 2018 FDA advance notice of proposed rulemaking</w:t>
            </w:r>
            <w:r w:rsidR="00F247F7">
              <w:rPr>
                <w:rStyle w:val="FootnoteReference"/>
                <w:rFonts w:ascii="Helvetica Neue" w:hAnsi="Helvetica Neue" w:cstheme="majorHAnsi"/>
                <w:sz w:val="24"/>
                <w:szCs w:val="24"/>
              </w:rPr>
              <w:footnoteReference w:id="85"/>
            </w:r>
            <w:r w:rsidRPr="00CE4BA1">
              <w:rPr>
                <w:rFonts w:ascii="Helvetica Neue" w:hAnsi="Helvetica Neue" w:cstheme="majorHAnsi"/>
                <w:sz w:val="24"/>
                <w:szCs w:val="24"/>
              </w:rPr>
              <w:t xml:space="preserve"> </w:t>
            </w:r>
            <w:hyperlink r:id="rId21" w:history="1">
              <w:r w:rsidRPr="00CE4BA1">
                <w:rPr>
                  <w:rStyle w:val="Hyperlink"/>
                  <w:rFonts w:ascii="Helvetica Neue" w:hAnsi="Helvetica Neue" w:cstheme="majorHAnsi"/>
                  <w:sz w:val="24"/>
                  <w:szCs w:val="24"/>
                </w:rPr>
                <w:t>“Regulation of Flavors in Tobacco Products”</w:t>
              </w:r>
            </w:hyperlink>
            <w:r w:rsidRPr="00CE4BA1">
              <w:rPr>
                <w:rFonts w:ascii="Helvetica Neue" w:hAnsi="Helvetica Neue" w:cstheme="majorHAnsi"/>
                <w:sz w:val="24"/>
                <w:szCs w:val="24"/>
              </w:rPr>
              <w:t xml:space="preserve">  notes that a robust body of literature in food consumer science demonstrates that flavors impact the appeal of consumable products</w:t>
            </w:r>
            <w:r w:rsidR="00F247F7">
              <w:rPr>
                <w:rStyle w:val="FootnoteReference"/>
                <w:rFonts w:ascii="Helvetica Neue" w:hAnsi="Helvetica Neue" w:cstheme="majorHAnsi"/>
                <w:sz w:val="24"/>
                <w:szCs w:val="24"/>
              </w:rPr>
              <w:footnoteReference w:id="86"/>
            </w:r>
            <w:r w:rsidRPr="00CE4BA1">
              <w:rPr>
                <w:rFonts w:ascii="Helvetica Neue" w:hAnsi="Helvetica Neue" w:cstheme="majorHAnsi"/>
                <w:sz w:val="24"/>
                <w:szCs w:val="24"/>
                <w:vertAlign w:val="superscript"/>
              </w:rPr>
              <w:t>,</w:t>
            </w:r>
            <w:r w:rsidR="00F247F7">
              <w:rPr>
                <w:rStyle w:val="FootnoteReference"/>
                <w:rFonts w:ascii="Helvetica Neue" w:hAnsi="Helvetica Neue" w:cstheme="majorHAnsi"/>
                <w:sz w:val="24"/>
                <w:szCs w:val="24"/>
              </w:rPr>
              <w:footnoteReference w:id="87"/>
            </w:r>
            <w:r w:rsidRPr="00CE4BA1">
              <w:rPr>
                <w:rFonts w:ascii="Helvetica Neue" w:hAnsi="Helvetica Neue" w:cstheme="majorHAnsi"/>
                <w:sz w:val="24"/>
                <w:szCs w:val="24"/>
              </w:rPr>
              <w:t xml:space="preserve"> and that flavor preferences drive food selection and vary across age groups.</w:t>
            </w:r>
            <w:r w:rsidR="00F247F7">
              <w:rPr>
                <w:rStyle w:val="FootnoteReference"/>
                <w:rFonts w:ascii="Helvetica Neue" w:hAnsi="Helvetica Neue" w:cstheme="majorHAnsi"/>
                <w:sz w:val="24"/>
                <w:szCs w:val="24"/>
              </w:rPr>
              <w:footnoteReference w:id="88"/>
            </w:r>
            <w:r w:rsidRPr="00CE4BA1">
              <w:rPr>
                <w:rFonts w:ascii="Helvetica Neue" w:hAnsi="Helvetica Neue" w:cstheme="majorHAnsi"/>
                <w:sz w:val="24"/>
                <w:szCs w:val="24"/>
                <w:vertAlign w:val="superscript"/>
              </w:rPr>
              <w:t>,</w:t>
            </w:r>
            <w:r w:rsidR="00F247F7">
              <w:rPr>
                <w:rStyle w:val="FootnoteReference"/>
                <w:rFonts w:ascii="Helvetica Neue" w:hAnsi="Helvetica Neue" w:cstheme="majorHAnsi"/>
                <w:sz w:val="24"/>
                <w:szCs w:val="24"/>
              </w:rPr>
              <w:footnoteReference w:id="89"/>
            </w:r>
            <w:r w:rsidRPr="00CE4BA1">
              <w:rPr>
                <w:rFonts w:ascii="Helvetica Neue" w:hAnsi="Helvetica Neue" w:cstheme="majorHAnsi"/>
                <w:sz w:val="24"/>
                <w:szCs w:val="24"/>
              </w:rPr>
              <w:t xml:space="preserve"> The FDA identifies studies that have shown adding sweet flavors to cigarettes increases the appeal of these products to youth,</w:t>
            </w:r>
            <w:r w:rsidR="00F247F7" w:rsidRPr="00F247F7">
              <w:rPr>
                <w:rStyle w:val="FootnoteReference"/>
                <w:rFonts w:ascii="Helvetica Neue" w:hAnsi="Helvetica Neue" w:cs="Arial (Headings)"/>
                <w:sz w:val="24"/>
                <w:szCs w:val="24"/>
              </w:rPr>
              <w:footnoteReference w:id="90"/>
            </w:r>
            <w:r w:rsidR="00F247F7" w:rsidRPr="00F247F7">
              <w:rPr>
                <w:rFonts w:ascii="Helvetica Neue" w:hAnsi="Helvetica Neue" w:cs="Arial (Headings)"/>
                <w:sz w:val="24"/>
                <w:szCs w:val="24"/>
                <w:vertAlign w:val="superscript"/>
              </w:rPr>
              <w:t>,</w:t>
            </w:r>
            <w:r w:rsidR="00F247F7" w:rsidRPr="00F247F7">
              <w:rPr>
                <w:rStyle w:val="FootnoteReference"/>
                <w:rFonts w:ascii="Helvetica Neue" w:hAnsi="Helvetica Neue" w:cs="Arial (Headings)"/>
                <w:sz w:val="24"/>
                <w:szCs w:val="24"/>
              </w:rPr>
              <w:footnoteReference w:id="91"/>
            </w:r>
            <w:r w:rsidR="00F247F7" w:rsidRPr="00F247F7">
              <w:rPr>
                <w:rFonts w:ascii="Helvetica Neue" w:hAnsi="Helvetica Neue" w:cs="Arial (Headings)"/>
                <w:sz w:val="24"/>
                <w:szCs w:val="24"/>
                <w:vertAlign w:val="superscript"/>
              </w:rPr>
              <w:t>,</w:t>
            </w:r>
            <w:r w:rsidR="00F247F7" w:rsidRPr="00F247F7">
              <w:rPr>
                <w:rStyle w:val="FootnoteReference"/>
                <w:rFonts w:ascii="Helvetica Neue" w:hAnsi="Helvetica Neue" w:cs="Arial (Headings)"/>
                <w:sz w:val="24"/>
                <w:szCs w:val="24"/>
              </w:rPr>
              <w:footnoteReference w:id="92"/>
            </w:r>
            <w:r w:rsidR="00F247F7" w:rsidRPr="00F247F7">
              <w:rPr>
                <w:rFonts w:ascii="Helvetica Neue" w:hAnsi="Helvetica Neue" w:cs="Arial (Headings)"/>
                <w:sz w:val="24"/>
                <w:szCs w:val="24"/>
                <w:vertAlign w:val="superscript"/>
              </w:rPr>
              <w:t>,</w:t>
            </w:r>
            <w:r w:rsidR="00F247F7">
              <w:rPr>
                <w:rStyle w:val="FootnoteReference"/>
                <w:rFonts w:ascii="Helvetica Neue" w:hAnsi="Helvetica Neue" w:cstheme="majorHAnsi"/>
                <w:sz w:val="24"/>
                <w:szCs w:val="24"/>
              </w:rPr>
              <w:footnoteReference w:id="93"/>
            </w:r>
            <w:r w:rsidRPr="00CE4BA1">
              <w:rPr>
                <w:rFonts w:ascii="Helvetica Neue" w:hAnsi="Helvetica Neue" w:cstheme="majorHAnsi"/>
                <w:sz w:val="24"/>
                <w:szCs w:val="24"/>
              </w:rPr>
              <w:t xml:space="preserve"> and tobacco industry documents show that food flavors, such as fruit and candy, were used to attract new users, primarily youth. Flavors in food and tobacco products can trigger reward pathways in the brain and influence decision-making.</w:t>
            </w:r>
            <w:r w:rsidR="00F247F7">
              <w:rPr>
                <w:rStyle w:val="FootnoteReference"/>
                <w:rFonts w:ascii="Helvetica Neue" w:hAnsi="Helvetica Neue" w:cstheme="majorHAnsi"/>
                <w:sz w:val="24"/>
                <w:szCs w:val="24"/>
              </w:rPr>
              <w:footnoteReference w:id="94"/>
            </w:r>
            <w:r w:rsidRPr="00CE4BA1">
              <w:rPr>
                <w:rFonts w:ascii="Helvetica Neue" w:hAnsi="Helvetica Neue" w:cstheme="majorHAnsi"/>
                <w:sz w:val="24"/>
                <w:szCs w:val="24"/>
                <w:vertAlign w:val="superscript"/>
              </w:rPr>
              <w:t>,</w:t>
            </w:r>
            <w:r w:rsidR="00274559">
              <w:rPr>
                <w:rStyle w:val="FootnoteReference"/>
                <w:rFonts w:ascii="Helvetica Neue" w:hAnsi="Helvetica Neue" w:cstheme="majorHAnsi"/>
                <w:sz w:val="24"/>
                <w:szCs w:val="24"/>
              </w:rPr>
              <w:footnoteReference w:id="95"/>
            </w:r>
            <w:r w:rsidRPr="00CE4BA1">
              <w:rPr>
                <w:rFonts w:ascii="Helvetica Neue" w:hAnsi="Helvetica Neue" w:cstheme="majorHAnsi"/>
                <w:sz w:val="24"/>
                <w:szCs w:val="24"/>
                <w:vertAlign w:val="superscript"/>
              </w:rPr>
              <w:t>,</w:t>
            </w:r>
            <w:r w:rsidR="00274559">
              <w:rPr>
                <w:rStyle w:val="FootnoteReference"/>
                <w:rFonts w:ascii="Helvetica Neue" w:hAnsi="Helvetica Neue" w:cstheme="majorHAnsi"/>
                <w:sz w:val="24"/>
                <w:szCs w:val="24"/>
              </w:rPr>
              <w:footnoteReference w:id="96"/>
            </w:r>
            <w:r w:rsidRPr="00CE4BA1">
              <w:rPr>
                <w:rFonts w:ascii="Helvetica Neue" w:hAnsi="Helvetica Neue" w:cstheme="majorHAnsi"/>
                <w:sz w:val="24"/>
                <w:szCs w:val="24"/>
              </w:rPr>
              <w:t xml:space="preserve"> Laboratory research has confirmed that tobacco products contain </w:t>
            </w:r>
            <w:r w:rsidRPr="00CE4BA1">
              <w:rPr>
                <w:rFonts w:ascii="Helvetica Neue" w:hAnsi="Helvetica Neue" w:cstheme="majorHAnsi"/>
                <w:sz w:val="24"/>
                <w:szCs w:val="24"/>
              </w:rPr>
              <w:lastRenderedPageBreak/>
              <w:t>flavor chemicals at the same level per serving as defined by the studies, or higher than, popular candy and drink products.</w:t>
            </w:r>
            <w:r w:rsidR="00274559">
              <w:rPr>
                <w:rStyle w:val="FootnoteReference"/>
                <w:rFonts w:ascii="Helvetica Neue" w:hAnsi="Helvetica Neue" w:cstheme="majorHAnsi"/>
                <w:sz w:val="24"/>
                <w:szCs w:val="24"/>
              </w:rPr>
              <w:footnoteReference w:id="97"/>
            </w:r>
            <w:r w:rsidRPr="00CE4BA1">
              <w:rPr>
                <w:rFonts w:ascii="Helvetica Neue" w:hAnsi="Helvetica Neue" w:cstheme="majorHAnsi"/>
                <w:sz w:val="24"/>
                <w:szCs w:val="24"/>
                <w:vertAlign w:val="superscript"/>
              </w:rPr>
              <w:t>,</w:t>
            </w:r>
            <w:r w:rsidR="00274559">
              <w:rPr>
                <w:rStyle w:val="FootnoteReference"/>
                <w:rFonts w:ascii="Helvetica Neue" w:hAnsi="Helvetica Neue" w:cstheme="majorHAnsi"/>
                <w:sz w:val="24"/>
                <w:szCs w:val="24"/>
              </w:rPr>
              <w:footnoteReference w:id="98"/>
            </w:r>
            <w:r w:rsidRPr="00CE4BA1">
              <w:rPr>
                <w:rFonts w:ascii="Helvetica Neue" w:hAnsi="Helvetica Neue" w:cstheme="majorHAnsi"/>
                <w:sz w:val="24"/>
                <w:szCs w:val="24"/>
              </w:rPr>
              <w:t xml:space="preserve"> Youth who perceive less health risk from using tobacco products are more likely to initiate use, and findings from studies assessing harm perceptions of tobacco product risks show that each age group, including youth, perceived flavored tobacco products as less harmful than unflavored products.</w:t>
            </w:r>
            <w:r w:rsidR="00274559">
              <w:rPr>
                <w:rStyle w:val="FootnoteReference"/>
                <w:rFonts w:ascii="Helvetica Neue" w:hAnsi="Helvetica Neue" w:cstheme="majorHAnsi"/>
                <w:sz w:val="24"/>
                <w:szCs w:val="24"/>
              </w:rPr>
              <w:footnoteReference w:id="99"/>
            </w:r>
            <w:r w:rsidRPr="00CE4BA1">
              <w:rPr>
                <w:rFonts w:ascii="Helvetica Neue" w:hAnsi="Helvetica Neue" w:cstheme="majorHAnsi"/>
                <w:sz w:val="24"/>
                <w:szCs w:val="24"/>
                <w:vertAlign w:val="superscript"/>
              </w:rPr>
              <w:t>,</w:t>
            </w:r>
            <w:r w:rsidR="00274559">
              <w:rPr>
                <w:rStyle w:val="FootnoteReference"/>
                <w:rFonts w:ascii="Helvetica Neue" w:hAnsi="Helvetica Neue" w:cstheme="majorHAnsi"/>
                <w:sz w:val="24"/>
                <w:szCs w:val="24"/>
              </w:rPr>
              <w:footnoteReference w:id="100"/>
            </w:r>
          </w:p>
          <w:p w14:paraId="1CC35E25" w14:textId="53001181" w:rsidR="0030006D" w:rsidRPr="00CE4BA1" w:rsidRDefault="00F14A92" w:rsidP="00F945AE">
            <w:pPr>
              <w:spacing w:before="120" w:after="120" w:line="360" w:lineRule="auto"/>
              <w:rPr>
                <w:rFonts w:ascii="Helvetica Neue" w:eastAsia="Helvetica Neue" w:hAnsi="Helvetica Neue" w:cs="Arial"/>
              </w:rPr>
            </w:pPr>
            <w:r w:rsidRPr="00CE4BA1">
              <w:rPr>
                <w:rFonts w:ascii="Helvetica Neue" w:eastAsia="Helvetica Neue" w:hAnsi="Helvetica Neue" w:cs="Arial"/>
              </w:rPr>
              <w:t>In addition to flavors attractive to youth, r</w:t>
            </w:r>
            <w:r w:rsidR="0030006D" w:rsidRPr="00CE4BA1">
              <w:rPr>
                <w:rFonts w:ascii="Helvetica Neue" w:eastAsia="Helvetica Neue" w:hAnsi="Helvetica Neue" w:cs="Arial"/>
              </w:rPr>
              <w:t>apidly increasing potency is perhaps the most worrisome market trend, associated with a greatly elevated risk of psychosis even above 10% THC,</w:t>
            </w:r>
            <w:r w:rsidR="00864E02" w:rsidRPr="00CE4BA1">
              <w:rPr>
                <w:rFonts w:ascii="Helvetica Neue" w:eastAsia="Helvetica Neue" w:hAnsi="Helvetica Neue" w:cs="Arial"/>
              </w:rPr>
              <w:t xml:space="preserve"> </w:t>
            </w:r>
            <w:r w:rsidR="00864E02" w:rsidRPr="00CE4BA1">
              <w:rPr>
                <w:rStyle w:val="FootnoteReference"/>
                <w:rFonts w:ascii="Helvetica Neue" w:eastAsia="Helvetica Neue" w:hAnsi="Helvetica Neue" w:cs="Arial"/>
              </w:rPr>
              <w:footnoteReference w:id="101"/>
            </w:r>
            <w:r w:rsidR="00864E02" w:rsidRPr="00CE4BA1">
              <w:rPr>
                <w:rFonts w:ascii="Helvetica Neue" w:eastAsia="Helvetica Neue" w:hAnsi="Helvetica Neue" w:cs="Arial"/>
                <w:vertAlign w:val="superscript"/>
              </w:rPr>
              <w:t>,</w:t>
            </w:r>
            <w:r w:rsidR="00864E02" w:rsidRPr="00CE4BA1">
              <w:rPr>
                <w:rStyle w:val="FootnoteReference"/>
                <w:rFonts w:ascii="Helvetica Neue" w:eastAsia="Helvetica Neue" w:hAnsi="Helvetica Neue" w:cs="Arial"/>
              </w:rPr>
              <w:footnoteReference w:id="102"/>
            </w:r>
            <w:r w:rsidR="0030006D" w:rsidRPr="00CE4BA1">
              <w:rPr>
                <w:rFonts w:ascii="Helvetica Neue" w:eastAsia="Helvetica Neue" w:hAnsi="Helvetica Neue" w:cs="Arial"/>
              </w:rPr>
              <w:t xml:space="preserve"> as well as greater risk of addiction. It mimics increased nicotine concentrations cigarette and e-cigarette industries used to hook users. Indeed, Juul and Pax, the THC vaping company, were previously one company. This trend starts in cultivation of higher potency flower and continues in manufacturing. While it would ideally be addressed through regulation of those sectors, local government can reduce harm from these products and influence market trends by regulating what may be sold. The potency thresholds in </w:t>
            </w:r>
            <w:r w:rsidR="00CE4BA1">
              <w:rPr>
                <w:rFonts w:ascii="Helvetica Neue" w:eastAsia="Helvetica Neue" w:hAnsi="Helvetica Neue" w:cs="Arial"/>
              </w:rPr>
              <w:t>sub</w:t>
            </w:r>
            <w:r w:rsidR="0030006D" w:rsidRPr="00CE4BA1">
              <w:rPr>
                <w:rFonts w:ascii="Helvetica Neue" w:eastAsia="Helvetica Neue" w:hAnsi="Helvetica Neue" w:cs="Arial"/>
              </w:rPr>
              <w:t xml:space="preserve">sections </w:t>
            </w:r>
            <w:r w:rsidR="00CE4BA1">
              <w:rPr>
                <w:rFonts w:ascii="Helvetica Neue" w:eastAsia="Helvetica Neue" w:hAnsi="Helvetica Neue" w:cs="Arial"/>
              </w:rPr>
              <w:t xml:space="preserve">(b), </w:t>
            </w:r>
            <w:r w:rsidR="0030006D" w:rsidRPr="00CE4BA1">
              <w:rPr>
                <w:rFonts w:ascii="Helvetica Neue" w:eastAsia="Helvetica Neue" w:hAnsi="Helvetica Neue" w:cs="Arial"/>
              </w:rPr>
              <w:t xml:space="preserve">(d) and (e) reflect research on the historical evolution of potency from about 4% for flower to the 16-30% for most flower in CA; concentrates are frequently 70–90+% THC. Quebec has limited concentrate potency to 30%. Rhode Island recently proposed 50%, and the Florida legislature has considered a 10% THC cap on flower. Uruguay limits flower potency to 8%. A 50% cap would prohibit products such as wax or shatter with very high concentrations and require reduced concentration in vaping products. An alternative approach is to require metered dosing mechanisms that administer 5mg doses. There are important pros and cons to prohibiting the highest potency products. Key advantages include reducing access to products that are likely to produce a higher rate of psychosis, adverse highs and cannabis use disorder (addiction). A key disadvantage is that </w:t>
            </w:r>
            <w:r w:rsidR="0030006D" w:rsidRPr="00CE4BA1">
              <w:rPr>
                <w:rFonts w:ascii="Helvetica Neue" w:eastAsia="Helvetica Neue" w:hAnsi="Helvetica Neue" w:cs="Arial"/>
              </w:rPr>
              <w:lastRenderedPageBreak/>
              <w:t>these products may remain in the illegal market and be produced less safely. While the optimal cap level is unclear, it is clear that current trends cannot be allowed to continue without risk to public health.</w:t>
            </w:r>
          </w:p>
          <w:p w14:paraId="70EEC8BC" w14:textId="799F0546" w:rsidR="0030006D" w:rsidRPr="001115C5" w:rsidRDefault="0030006D" w:rsidP="00F945AE">
            <w:pPr>
              <w:spacing w:before="120" w:after="120" w:line="360" w:lineRule="auto"/>
              <w:rPr>
                <w:rFonts w:ascii="Helvetica Neue" w:eastAsia="Helvetica Neue" w:hAnsi="Helvetica Neue" w:cs="Arial"/>
              </w:rPr>
            </w:pPr>
            <w:r w:rsidRPr="001115C5">
              <w:rPr>
                <w:rFonts w:ascii="Helvetica Neue" w:eastAsia="Helvetica Neue" w:hAnsi="Helvetica Neue" w:cs="Arial"/>
              </w:rPr>
              <w:t>Also, under state regulations, Cannabis tinctures</w:t>
            </w:r>
            <w:r w:rsidR="006E4F62" w:rsidRPr="001115C5">
              <w:rPr>
                <w:rFonts w:ascii="Helvetica Neue" w:eastAsia="Helvetica Neue" w:hAnsi="Helvetica Neue" w:cs="Arial"/>
              </w:rPr>
              <w:t xml:space="preserve"> and</w:t>
            </w:r>
            <w:r w:rsidRPr="001115C5">
              <w:rPr>
                <w:rFonts w:ascii="Helvetica Neue" w:eastAsia="Helvetica Neue" w:hAnsi="Helvetica Neue" w:cs="Arial"/>
              </w:rPr>
              <w:t xml:space="preserve"> tablets fall within the definition of Cannabis concentrates. This provision does not affect Cannabis edibles which are already limited to 10mg in California.</w:t>
            </w:r>
          </w:p>
        </w:tc>
      </w:tr>
    </w:tbl>
    <w:p w14:paraId="6FCC9C02" w14:textId="77777777" w:rsidR="006D409E" w:rsidRPr="001115C5" w:rsidRDefault="00BC0EC1" w:rsidP="00064063">
      <w:pPr>
        <w:pStyle w:val="ListParagraph"/>
        <w:numPr>
          <w:ilvl w:val="0"/>
          <w:numId w:val="11"/>
        </w:numPr>
        <w:spacing w:before="480" w:after="240"/>
        <w:ind w:left="792"/>
        <w:contextualSpacing w:val="0"/>
        <w:rPr>
          <w:rFonts w:ascii="Helvetica Neue" w:hAnsi="Helvetica Neue" w:cs="Arial"/>
        </w:rPr>
      </w:pPr>
      <w:r w:rsidRPr="001115C5">
        <w:rPr>
          <w:rFonts w:ascii="Helvetica Neue" w:hAnsi="Helvetica Neue" w:cs="Arial"/>
        </w:rPr>
        <w:lastRenderedPageBreak/>
        <w:t>Edible Cannabis Products that:</w:t>
      </w:r>
    </w:p>
    <w:p w14:paraId="57D46658" w14:textId="77777777" w:rsidR="006D409E" w:rsidRPr="001115C5" w:rsidRDefault="00BC0EC1" w:rsidP="00064063">
      <w:pPr>
        <w:pStyle w:val="ListParagraph"/>
        <w:numPr>
          <w:ilvl w:val="1"/>
          <w:numId w:val="11"/>
        </w:numPr>
        <w:spacing w:after="240"/>
        <w:ind w:left="1224"/>
        <w:contextualSpacing w:val="0"/>
        <w:rPr>
          <w:rFonts w:ascii="Helvetica Neue" w:hAnsi="Helvetica Neue" w:cs="Arial"/>
        </w:rPr>
      </w:pPr>
      <w:r w:rsidRPr="001115C5">
        <w:rPr>
          <w:rFonts w:ascii="Helvetica Neue" w:hAnsi="Helvetica Neue" w:cs="Arial"/>
        </w:rPr>
        <w:t xml:space="preserve">Contain more than 10mg THC per individual </w:t>
      </w:r>
      <w:proofErr w:type="gramStart"/>
      <w:r w:rsidRPr="001115C5">
        <w:rPr>
          <w:rFonts w:ascii="Helvetica Neue" w:hAnsi="Helvetica Neue" w:cs="Arial"/>
        </w:rPr>
        <w:t>serving;</w:t>
      </w:r>
      <w:proofErr w:type="gramEnd"/>
    </w:p>
    <w:p w14:paraId="3CA13E5B" w14:textId="77777777" w:rsidR="006D409E" w:rsidRPr="001115C5" w:rsidRDefault="00BC0EC1" w:rsidP="00064063">
      <w:pPr>
        <w:pStyle w:val="ListParagraph"/>
        <w:numPr>
          <w:ilvl w:val="1"/>
          <w:numId w:val="11"/>
        </w:numPr>
        <w:spacing w:after="240"/>
        <w:ind w:left="1224"/>
        <w:contextualSpacing w:val="0"/>
        <w:rPr>
          <w:rFonts w:ascii="Helvetica Neue" w:hAnsi="Helvetica Neue" w:cs="Arial"/>
        </w:rPr>
      </w:pPr>
      <w:r w:rsidRPr="001115C5">
        <w:rPr>
          <w:rFonts w:ascii="Helvetica Neue" w:hAnsi="Helvetica Neue" w:cs="Arial"/>
        </w:rPr>
        <w:t xml:space="preserve">Contain more than 100mg THC per individual </w:t>
      </w:r>
      <w:proofErr w:type="gramStart"/>
      <w:r w:rsidRPr="001115C5">
        <w:rPr>
          <w:rFonts w:ascii="Helvetica Neue" w:hAnsi="Helvetica Neue" w:cs="Arial"/>
        </w:rPr>
        <w:t>package;</w:t>
      </w:r>
      <w:proofErr w:type="gramEnd"/>
    </w:p>
    <w:p w14:paraId="1CEAB3D7" w14:textId="77777777" w:rsidR="006D409E" w:rsidRPr="001115C5" w:rsidRDefault="00BC0EC1" w:rsidP="00064063">
      <w:pPr>
        <w:pStyle w:val="ListParagraph"/>
        <w:numPr>
          <w:ilvl w:val="1"/>
          <w:numId w:val="11"/>
        </w:numPr>
        <w:spacing w:after="240"/>
        <w:ind w:left="1224"/>
        <w:contextualSpacing w:val="0"/>
        <w:rPr>
          <w:rFonts w:ascii="Helvetica Neue" w:hAnsi="Helvetica Neue" w:cs="Arial"/>
        </w:rPr>
      </w:pPr>
      <w:r w:rsidRPr="001115C5">
        <w:rPr>
          <w:rFonts w:ascii="Helvetica Neue" w:hAnsi="Helvetica Neue" w:cs="Arial"/>
        </w:rPr>
        <w:t xml:space="preserve">Do not have completely physically separated individual </w:t>
      </w:r>
      <w:proofErr w:type="gramStart"/>
      <w:r w:rsidRPr="001115C5">
        <w:rPr>
          <w:rFonts w:ascii="Helvetica Neue" w:hAnsi="Helvetica Neue" w:cs="Arial"/>
        </w:rPr>
        <w:t>servings;</w:t>
      </w:r>
      <w:proofErr w:type="gramEnd"/>
    </w:p>
    <w:p w14:paraId="357F8847" w14:textId="77777777" w:rsidR="006D409E" w:rsidRPr="001115C5" w:rsidRDefault="00BC0EC1" w:rsidP="00064063">
      <w:pPr>
        <w:pStyle w:val="ListParagraph"/>
        <w:numPr>
          <w:ilvl w:val="1"/>
          <w:numId w:val="11"/>
        </w:numPr>
        <w:spacing w:after="240"/>
        <w:ind w:left="1224"/>
        <w:contextualSpacing w:val="0"/>
        <w:rPr>
          <w:rFonts w:ascii="Helvetica Neue" w:hAnsi="Helvetica Neue" w:cs="Arial"/>
        </w:rPr>
      </w:pPr>
      <w:r w:rsidRPr="001115C5">
        <w:rPr>
          <w:rFonts w:ascii="Helvetica Neue" w:hAnsi="Helvetica Neue" w:cs="Arial"/>
        </w:rPr>
        <w:t xml:space="preserve">In the case of solids, individual servings are not in geometric </w:t>
      </w:r>
      <w:proofErr w:type="gramStart"/>
      <w:r w:rsidRPr="001115C5">
        <w:rPr>
          <w:rFonts w:ascii="Helvetica Neue" w:hAnsi="Helvetica Neue" w:cs="Arial"/>
        </w:rPr>
        <w:t>shapes;</w:t>
      </w:r>
      <w:proofErr w:type="gramEnd"/>
    </w:p>
    <w:p w14:paraId="2DD6E72C" w14:textId="77777777" w:rsidR="006D409E" w:rsidRPr="001115C5" w:rsidRDefault="00BC0EC1" w:rsidP="00064063">
      <w:pPr>
        <w:pStyle w:val="ListParagraph"/>
        <w:numPr>
          <w:ilvl w:val="1"/>
          <w:numId w:val="11"/>
        </w:numPr>
        <w:spacing w:after="240"/>
        <w:ind w:left="1224"/>
        <w:contextualSpacing w:val="0"/>
        <w:rPr>
          <w:rFonts w:ascii="Helvetica Neue" w:hAnsi="Helvetica Neue" w:cs="Arial"/>
        </w:rPr>
      </w:pPr>
      <w:r w:rsidRPr="001115C5">
        <w:rPr>
          <w:rFonts w:ascii="Helvetica Neue" w:hAnsi="Helvetica Neue" w:cs="Arial"/>
        </w:rPr>
        <w:t>Are Attractive to Youth, including but without limitation:</w:t>
      </w:r>
    </w:p>
    <w:p w14:paraId="449D82BC" w14:textId="77777777" w:rsidR="006D409E" w:rsidRPr="001115C5" w:rsidRDefault="00BC0EC1" w:rsidP="00064063">
      <w:pPr>
        <w:pStyle w:val="ListParagraph"/>
        <w:numPr>
          <w:ilvl w:val="2"/>
          <w:numId w:val="11"/>
        </w:numPr>
        <w:spacing w:after="240"/>
        <w:ind w:left="1620" w:hanging="324"/>
        <w:contextualSpacing w:val="0"/>
        <w:rPr>
          <w:rFonts w:ascii="Helvetica Neue" w:hAnsi="Helvetica Neue" w:cs="Arial"/>
        </w:rPr>
      </w:pPr>
      <w:r w:rsidRPr="001115C5">
        <w:rPr>
          <w:rFonts w:ascii="Helvetica Neue" w:hAnsi="Helvetica Neue" w:cs="Arial"/>
        </w:rPr>
        <w:t>Brightly colored toppings on baked goods that are distinctly different from the natural color of the Edible Cannabis Product (rainbow sprinkles on a</w:t>
      </w:r>
      <w:r w:rsidR="00531F80" w:rsidRPr="001115C5">
        <w:rPr>
          <w:rFonts w:ascii="Helvetica Neue" w:hAnsi="Helvetica Neue" w:cs="Arial"/>
        </w:rPr>
        <w:t xml:space="preserve"> </w:t>
      </w:r>
      <w:r w:rsidRPr="001115C5">
        <w:rPr>
          <w:rFonts w:ascii="Helvetica Neue" w:hAnsi="Helvetica Neue" w:cs="Arial"/>
        </w:rPr>
        <w:t>brownie</w:t>
      </w:r>
      <w:proofErr w:type="gramStart"/>
      <w:r w:rsidRPr="001115C5">
        <w:rPr>
          <w:rFonts w:ascii="Helvetica Neue" w:hAnsi="Helvetica Neue" w:cs="Arial"/>
        </w:rPr>
        <w:t>);</w:t>
      </w:r>
      <w:proofErr w:type="gramEnd"/>
    </w:p>
    <w:p w14:paraId="6F764CA1" w14:textId="77777777" w:rsidR="006D409E" w:rsidRPr="001115C5" w:rsidRDefault="00BC0EC1" w:rsidP="00864E02">
      <w:pPr>
        <w:pStyle w:val="ListParagraph"/>
        <w:numPr>
          <w:ilvl w:val="2"/>
          <w:numId w:val="11"/>
        </w:numPr>
        <w:spacing w:after="240"/>
        <w:ind w:left="1710" w:hanging="360"/>
        <w:contextualSpacing w:val="0"/>
        <w:rPr>
          <w:rFonts w:ascii="Helvetica Neue" w:hAnsi="Helvetica Neue" w:cs="Arial"/>
        </w:rPr>
      </w:pPr>
      <w:r w:rsidRPr="001115C5">
        <w:rPr>
          <w:rFonts w:ascii="Helvetica Neue" w:hAnsi="Helvetica Neue" w:cs="Arial"/>
        </w:rPr>
        <w:t>Multi-colored candies, lozenges, or tablets; or</w:t>
      </w:r>
    </w:p>
    <w:p w14:paraId="3A9AF891" w14:textId="77777777" w:rsidR="006D409E" w:rsidRPr="001115C5" w:rsidRDefault="00BC0EC1" w:rsidP="00864E02">
      <w:pPr>
        <w:pStyle w:val="ListParagraph"/>
        <w:numPr>
          <w:ilvl w:val="2"/>
          <w:numId w:val="11"/>
        </w:numPr>
        <w:spacing w:after="240"/>
        <w:ind w:left="1710" w:hanging="360"/>
        <w:contextualSpacing w:val="0"/>
        <w:rPr>
          <w:rFonts w:ascii="Helvetica Neue" w:hAnsi="Helvetica Neue" w:cs="Arial"/>
        </w:rPr>
      </w:pPr>
      <w:r w:rsidRPr="001115C5">
        <w:rPr>
          <w:rFonts w:ascii="Helvetica Neue" w:hAnsi="Helvetica Neue" w:cs="Arial"/>
        </w:rPr>
        <w:t>Confectionary products with multi-colored coatings.</w:t>
      </w:r>
    </w:p>
    <w:p w14:paraId="1C841797" w14:textId="77777777" w:rsidR="006D409E" w:rsidRPr="001115C5" w:rsidRDefault="00BC0EC1" w:rsidP="00064063">
      <w:pPr>
        <w:pStyle w:val="ListParagraph"/>
        <w:numPr>
          <w:ilvl w:val="1"/>
          <w:numId w:val="11"/>
        </w:numPr>
        <w:spacing w:after="240"/>
        <w:ind w:left="1224"/>
        <w:contextualSpacing w:val="0"/>
        <w:rPr>
          <w:rFonts w:ascii="Helvetica Neue" w:hAnsi="Helvetica Neue" w:cs="Arial"/>
        </w:rPr>
      </w:pPr>
      <w:r w:rsidRPr="001115C5">
        <w:rPr>
          <w:rFonts w:ascii="Helvetica Neue" w:hAnsi="Helvetica Neue" w:cs="Arial"/>
        </w:rPr>
        <w:t>Are in liquid form, and not considered Cannabis Concentrates.</w:t>
      </w:r>
    </w:p>
    <w:p w14:paraId="54879869" w14:textId="6D16BE01" w:rsidR="0030006D" w:rsidRPr="001115C5" w:rsidRDefault="00BC0EC1" w:rsidP="00064063">
      <w:pPr>
        <w:pStyle w:val="ListParagraph"/>
        <w:numPr>
          <w:ilvl w:val="1"/>
          <w:numId w:val="11"/>
        </w:numPr>
        <w:spacing w:after="240"/>
        <w:ind w:left="1224"/>
        <w:contextualSpacing w:val="0"/>
        <w:rPr>
          <w:rFonts w:ascii="Helvetica Neue" w:hAnsi="Helvetica Neue" w:cs="Arial"/>
        </w:rPr>
      </w:pPr>
      <w:r w:rsidRPr="001115C5">
        <w:rPr>
          <w:rFonts w:ascii="Helvetica Neue" w:hAnsi="Helvetica Neue" w:cs="Arial"/>
        </w:rPr>
        <w:t xml:space="preserve">Are a powder, gel, or other form that is intended to be used to make a Cannabis-infused </w:t>
      </w:r>
      <w:proofErr w:type="gramStart"/>
      <w:r w:rsidRPr="001115C5">
        <w:rPr>
          <w:rFonts w:ascii="Helvetica Neue" w:hAnsi="Helvetica Neue" w:cs="Arial"/>
        </w:rPr>
        <w:t>beverage;</w:t>
      </w:r>
      <w:proofErr w:type="gramEnd"/>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BC0EC1" w:rsidRPr="001115C5" w14:paraId="7C0590EC" w14:textId="77777777" w:rsidTr="00895773">
        <w:tc>
          <w:tcPr>
            <w:tcW w:w="10188" w:type="dxa"/>
            <w:shd w:val="clear" w:color="auto" w:fill="D9D9D9" w:themeFill="background1" w:themeFillShade="D9"/>
          </w:tcPr>
          <w:p w14:paraId="7436F944" w14:textId="0EED7D1A" w:rsidR="00BC0EC1" w:rsidRPr="001115C5" w:rsidRDefault="00BC0EC1" w:rsidP="007C0C82">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This section would disallow the sale of Cannabis-infused beverages such as Cannabis orange or grape soda, as flavored beverages are a typical route of initiation for youth use.</w:t>
            </w:r>
          </w:p>
        </w:tc>
      </w:tr>
    </w:tbl>
    <w:p w14:paraId="456BB7E6" w14:textId="77777777" w:rsidR="006D409E" w:rsidRPr="001115C5" w:rsidRDefault="00BC0EC1" w:rsidP="00064063">
      <w:pPr>
        <w:pStyle w:val="ListParagraph"/>
        <w:numPr>
          <w:ilvl w:val="1"/>
          <w:numId w:val="11"/>
        </w:numPr>
        <w:spacing w:before="480" w:after="240"/>
        <w:ind w:left="1350" w:hanging="486"/>
        <w:contextualSpacing w:val="0"/>
        <w:rPr>
          <w:rFonts w:ascii="Helvetica Neue" w:hAnsi="Helvetica Neue" w:cs="Arial"/>
        </w:rPr>
      </w:pPr>
      <w:r w:rsidRPr="001115C5">
        <w:rPr>
          <w:rFonts w:ascii="Helvetica Neue" w:hAnsi="Helvetica Neue" w:cs="Arial"/>
        </w:rPr>
        <w:t>Constitute a Potentially Hazardous Food (as defined in the Health and Safety Code §113871</w:t>
      </w:r>
      <w:proofErr w:type="gramStart"/>
      <w:r w:rsidRPr="001115C5">
        <w:rPr>
          <w:rFonts w:ascii="Helvetica Neue" w:hAnsi="Helvetica Neue" w:cs="Arial"/>
        </w:rPr>
        <w:t>);</w:t>
      </w:r>
      <w:proofErr w:type="gramEnd"/>
    </w:p>
    <w:p w14:paraId="4BEBE04C" w14:textId="77777777" w:rsidR="006D409E" w:rsidRPr="001115C5" w:rsidRDefault="00BC0EC1" w:rsidP="00064063">
      <w:pPr>
        <w:pStyle w:val="ListParagraph"/>
        <w:numPr>
          <w:ilvl w:val="1"/>
          <w:numId w:val="11"/>
        </w:numPr>
        <w:spacing w:after="240"/>
        <w:ind w:left="1350" w:hanging="486"/>
        <w:contextualSpacing w:val="0"/>
        <w:rPr>
          <w:rFonts w:ascii="Helvetica Neue" w:hAnsi="Helvetica Neue" w:cs="Arial"/>
        </w:rPr>
      </w:pPr>
      <w:r w:rsidRPr="001115C5">
        <w:rPr>
          <w:rFonts w:ascii="Helvetica Neue" w:hAnsi="Helvetica Neue" w:cs="Arial"/>
        </w:rPr>
        <w:lastRenderedPageBreak/>
        <w:t>Require time or temperature control to limit pathogenic microorganism growth or toxin formation; or</w:t>
      </w:r>
    </w:p>
    <w:p w14:paraId="660BA7F6" w14:textId="77777777" w:rsidR="006D409E" w:rsidRPr="001115C5" w:rsidRDefault="00BC0EC1" w:rsidP="00064063">
      <w:pPr>
        <w:pStyle w:val="ListParagraph"/>
        <w:numPr>
          <w:ilvl w:val="1"/>
          <w:numId w:val="11"/>
        </w:numPr>
        <w:spacing w:after="240"/>
        <w:ind w:left="1350" w:hanging="486"/>
        <w:contextualSpacing w:val="0"/>
        <w:rPr>
          <w:rFonts w:ascii="Helvetica Neue" w:hAnsi="Helvetica Neue" w:cs="Arial"/>
        </w:rPr>
      </w:pPr>
      <w:r w:rsidRPr="001115C5">
        <w:rPr>
          <w:rFonts w:ascii="Helvetica Neue" w:hAnsi="Helvetica Neue" w:cs="Arial"/>
        </w:rPr>
        <w:t>Require unique packaging, such as canning or reduced oxygen packaging, to limit pathogenic microorganism growth or toxin formation.</w:t>
      </w:r>
    </w:p>
    <w:p w14:paraId="1AA2B7C1" w14:textId="77777777" w:rsidR="00F57949" w:rsidRPr="001115C5" w:rsidRDefault="00BC0EC1" w:rsidP="00064063">
      <w:pPr>
        <w:pStyle w:val="ListParagraph"/>
        <w:numPr>
          <w:ilvl w:val="0"/>
          <w:numId w:val="11"/>
        </w:numPr>
        <w:spacing w:after="240"/>
        <w:ind w:left="792"/>
        <w:contextualSpacing w:val="0"/>
        <w:rPr>
          <w:rFonts w:ascii="Helvetica Neue" w:hAnsi="Helvetica Neue" w:cs="Arial"/>
        </w:rPr>
      </w:pPr>
      <w:r w:rsidRPr="001115C5">
        <w:rPr>
          <w:rFonts w:ascii="Helvetica Neue" w:hAnsi="Helvetica Neue" w:cs="Arial"/>
        </w:rPr>
        <w:t>Cannabis or Cannabis Products that contain synthetic cannabinoids.</w:t>
      </w:r>
    </w:p>
    <w:p w14:paraId="0E79A8BE" w14:textId="77777777" w:rsidR="00F57949" w:rsidRPr="001115C5" w:rsidRDefault="00BC0EC1" w:rsidP="00064063">
      <w:pPr>
        <w:pStyle w:val="ListParagraph"/>
        <w:numPr>
          <w:ilvl w:val="0"/>
          <w:numId w:val="11"/>
        </w:numPr>
        <w:spacing w:after="240"/>
        <w:ind w:left="792"/>
        <w:contextualSpacing w:val="0"/>
        <w:rPr>
          <w:rFonts w:ascii="Helvetica Neue" w:hAnsi="Helvetica Neue" w:cs="Arial"/>
        </w:rPr>
      </w:pPr>
      <w:r w:rsidRPr="001115C5">
        <w:rPr>
          <w:rFonts w:ascii="Helvetica Neue" w:hAnsi="Helvetica Neue" w:cs="Arial"/>
        </w:rPr>
        <w:t xml:space="preserve">Cannabis or Cannabis Products that contain any non-Cannabis-derived additive that the </w:t>
      </w:r>
      <w:r w:rsidRPr="001115C5">
        <w:rPr>
          <w:rFonts w:ascii="Helvetica Neue" w:hAnsi="Helvetica Neue" w:cs="Arial"/>
          <w:color w:val="FF0000"/>
        </w:rPr>
        <w:t>Department</w:t>
      </w:r>
      <w:r w:rsidRPr="001115C5">
        <w:rPr>
          <w:rFonts w:ascii="Helvetica Neue" w:hAnsi="Helvetica Neue" w:cs="Arial"/>
        </w:rPr>
        <w:t xml:space="preserve"> reasonably determines would increase potency, toxicity, or addictive potential, or that would create an unsafe combination with compounds that naturally exist in Cannabis, including:</w:t>
      </w:r>
    </w:p>
    <w:p w14:paraId="45E08DE6" w14:textId="77777777" w:rsidR="00F57949" w:rsidRPr="001115C5" w:rsidRDefault="00BC0EC1" w:rsidP="00064063">
      <w:pPr>
        <w:pStyle w:val="ListParagraph"/>
        <w:numPr>
          <w:ilvl w:val="1"/>
          <w:numId w:val="11"/>
        </w:numPr>
        <w:spacing w:after="240"/>
        <w:ind w:left="1224"/>
        <w:contextualSpacing w:val="0"/>
        <w:rPr>
          <w:rFonts w:ascii="Helvetica Neue" w:hAnsi="Helvetica Neue" w:cs="Arial"/>
        </w:rPr>
      </w:pPr>
      <w:proofErr w:type="gramStart"/>
      <w:r w:rsidRPr="001115C5">
        <w:rPr>
          <w:rFonts w:ascii="Helvetica Neue" w:hAnsi="Helvetica Neue" w:cs="Arial"/>
        </w:rPr>
        <w:t>Nicotine;</w:t>
      </w:r>
      <w:proofErr w:type="gramEnd"/>
    </w:p>
    <w:p w14:paraId="64E76319" w14:textId="77777777" w:rsidR="00F57949" w:rsidRPr="001115C5" w:rsidRDefault="00BC0EC1" w:rsidP="00064063">
      <w:pPr>
        <w:pStyle w:val="ListParagraph"/>
        <w:numPr>
          <w:ilvl w:val="1"/>
          <w:numId w:val="11"/>
        </w:numPr>
        <w:spacing w:after="240"/>
        <w:ind w:left="1224"/>
        <w:contextualSpacing w:val="0"/>
        <w:rPr>
          <w:rFonts w:ascii="Helvetica Neue" w:hAnsi="Helvetica Neue" w:cs="Arial"/>
        </w:rPr>
      </w:pPr>
      <w:r w:rsidRPr="001115C5">
        <w:rPr>
          <w:rFonts w:ascii="Helvetica Neue" w:hAnsi="Helvetica Neue" w:cs="Arial"/>
        </w:rPr>
        <w:t xml:space="preserve">Caffeine, with the exception of caffeine that exists in an added food ingredient including, but without limitation, chocolate or green </w:t>
      </w:r>
      <w:proofErr w:type="gramStart"/>
      <w:r w:rsidRPr="001115C5">
        <w:rPr>
          <w:rFonts w:ascii="Helvetica Neue" w:hAnsi="Helvetica Neue" w:cs="Arial"/>
        </w:rPr>
        <w:t>tea;</w:t>
      </w:r>
      <w:proofErr w:type="gramEnd"/>
    </w:p>
    <w:p w14:paraId="3D0BD5F8" w14:textId="77777777" w:rsidR="00F57949" w:rsidRPr="001115C5" w:rsidRDefault="00BC0EC1" w:rsidP="00064063">
      <w:pPr>
        <w:pStyle w:val="ListParagraph"/>
        <w:numPr>
          <w:ilvl w:val="1"/>
          <w:numId w:val="11"/>
        </w:numPr>
        <w:spacing w:after="240"/>
        <w:ind w:left="1224"/>
        <w:contextualSpacing w:val="0"/>
        <w:rPr>
          <w:rFonts w:ascii="Helvetica Neue" w:hAnsi="Helvetica Neue" w:cs="Arial"/>
        </w:rPr>
      </w:pPr>
      <w:r w:rsidRPr="001115C5">
        <w:rPr>
          <w:rFonts w:ascii="Helvetica Neue" w:hAnsi="Helvetica Neue" w:cs="Arial"/>
        </w:rPr>
        <w:t>Alcohol, except for:</w:t>
      </w:r>
    </w:p>
    <w:p w14:paraId="03568CBD" w14:textId="77777777" w:rsidR="00F57949" w:rsidRPr="001115C5" w:rsidRDefault="00BC0EC1" w:rsidP="00064063">
      <w:pPr>
        <w:pStyle w:val="ListParagraph"/>
        <w:numPr>
          <w:ilvl w:val="2"/>
          <w:numId w:val="11"/>
        </w:numPr>
        <w:spacing w:after="240"/>
        <w:ind w:left="1620" w:hanging="324"/>
        <w:contextualSpacing w:val="0"/>
        <w:rPr>
          <w:rFonts w:ascii="Helvetica Neue" w:hAnsi="Helvetica Neue" w:cs="Arial"/>
        </w:rPr>
      </w:pPr>
      <w:r w:rsidRPr="001115C5">
        <w:rPr>
          <w:rFonts w:ascii="Helvetica Neue" w:hAnsi="Helvetica Neue" w:cs="Arial"/>
        </w:rPr>
        <w:t>A residual amount of alcohol from an extraction or purification process given the amount is below a threshold determined by the State to be safe for</w:t>
      </w:r>
      <w:r w:rsidR="00531F80" w:rsidRPr="001115C5">
        <w:rPr>
          <w:rFonts w:ascii="Helvetica Neue" w:hAnsi="Helvetica Neue" w:cs="Arial"/>
        </w:rPr>
        <w:t xml:space="preserve"> </w:t>
      </w:r>
      <w:r w:rsidRPr="001115C5">
        <w:rPr>
          <w:rFonts w:ascii="Helvetica Neue" w:hAnsi="Helvetica Neue" w:cs="Arial"/>
        </w:rPr>
        <w:t>human consumption and confirmed by laboratory analysis; or</w:t>
      </w:r>
    </w:p>
    <w:p w14:paraId="32746431" w14:textId="77777777" w:rsidR="00F57949" w:rsidRPr="001115C5" w:rsidRDefault="00BC0EC1" w:rsidP="00064063">
      <w:pPr>
        <w:pStyle w:val="ListParagraph"/>
        <w:numPr>
          <w:ilvl w:val="2"/>
          <w:numId w:val="11"/>
        </w:numPr>
        <w:spacing w:after="240"/>
        <w:ind w:left="1620" w:hanging="324"/>
        <w:contextualSpacing w:val="0"/>
        <w:rPr>
          <w:rFonts w:ascii="Helvetica Neue" w:hAnsi="Helvetica Neue" w:cs="Arial"/>
        </w:rPr>
      </w:pPr>
      <w:r w:rsidRPr="001115C5">
        <w:rPr>
          <w:rFonts w:ascii="Helvetica Neue" w:hAnsi="Helvetica Neue" w:cs="Arial"/>
        </w:rPr>
        <w:t>Ethanol alcohol used as an ingredient in a Tincture, as long as the product’s Packaging, Labeling, and Marketing materials make no other reference to alcoholic beverages or the use of alcohol as an intoxicant.</w:t>
      </w:r>
    </w:p>
    <w:p w14:paraId="2224B4FB" w14:textId="77777777" w:rsidR="00F57949" w:rsidRPr="001115C5" w:rsidRDefault="00BC0EC1" w:rsidP="00064063">
      <w:pPr>
        <w:pStyle w:val="ListParagraph"/>
        <w:numPr>
          <w:ilvl w:val="1"/>
          <w:numId w:val="11"/>
        </w:numPr>
        <w:spacing w:after="240"/>
        <w:ind w:left="1224"/>
        <w:contextualSpacing w:val="0"/>
        <w:rPr>
          <w:rFonts w:ascii="Helvetica Neue" w:hAnsi="Helvetica Neue" w:cs="Arial"/>
        </w:rPr>
      </w:pPr>
      <w:r w:rsidRPr="001115C5">
        <w:rPr>
          <w:rFonts w:ascii="Helvetica Neue" w:hAnsi="Helvetica Neue" w:cs="Arial"/>
        </w:rPr>
        <w:t>Vitamin E acetate in Cannabis Products intended for inhalation; or</w:t>
      </w:r>
    </w:p>
    <w:p w14:paraId="4FC7741E" w14:textId="77777777" w:rsidR="00F57949" w:rsidRPr="001115C5" w:rsidRDefault="00BC0EC1" w:rsidP="00064063">
      <w:pPr>
        <w:pStyle w:val="ListParagraph"/>
        <w:numPr>
          <w:ilvl w:val="1"/>
          <w:numId w:val="11"/>
        </w:numPr>
        <w:spacing w:after="240"/>
        <w:ind w:left="1224"/>
        <w:contextualSpacing w:val="0"/>
        <w:rPr>
          <w:rFonts w:ascii="Helvetica Neue" w:hAnsi="Helvetica Neue" w:cs="Arial"/>
        </w:rPr>
      </w:pPr>
      <w:r w:rsidRPr="001115C5">
        <w:rPr>
          <w:rFonts w:ascii="Helvetica Neue" w:hAnsi="Helvetica Neue" w:cs="Arial"/>
        </w:rPr>
        <w:t>Other non-cannabinoid ingredients that the Food and Drug Administration does not consider to be safe for use in inhalation products.</w:t>
      </w:r>
    </w:p>
    <w:p w14:paraId="2636A5C7" w14:textId="6E46FBCE" w:rsidR="008C6B19" w:rsidRPr="001115C5" w:rsidRDefault="00BC0EC1" w:rsidP="00064063">
      <w:pPr>
        <w:pStyle w:val="ListParagraph"/>
        <w:numPr>
          <w:ilvl w:val="1"/>
          <w:numId w:val="11"/>
        </w:numPr>
        <w:spacing w:after="240"/>
        <w:ind w:left="1224"/>
        <w:contextualSpacing w:val="0"/>
        <w:rPr>
          <w:rFonts w:ascii="Helvetica Neue" w:hAnsi="Helvetica Neue" w:cs="Arial"/>
        </w:rPr>
      </w:pPr>
      <w:r w:rsidRPr="001115C5">
        <w:rPr>
          <w:rFonts w:ascii="Helvetica Neue" w:hAnsi="Helvetica Neue" w:cs="Arial"/>
        </w:rPr>
        <w:t xml:space="preserve">Any Cannabis Product that the </w:t>
      </w:r>
      <w:r w:rsidRPr="001115C5">
        <w:rPr>
          <w:rFonts w:ascii="Helvetica Neue" w:hAnsi="Helvetica Neue" w:cs="Arial"/>
          <w:color w:val="FF0000"/>
        </w:rPr>
        <w:t>Department</w:t>
      </w:r>
      <w:r w:rsidRPr="001115C5">
        <w:rPr>
          <w:rFonts w:ascii="Helvetica Neue" w:hAnsi="Helvetica Neue" w:cs="Arial"/>
        </w:rPr>
        <w:t xml:space="preserve"> determines has unique or trademarked characteristics of a commercially available non-Cannabis-containing product that could result in the Cannabis Product being easily confused for a conventional non-Cannabis-containing product.</w:t>
      </w:r>
    </w:p>
    <w:p w14:paraId="1659AC5E" w14:textId="77777777" w:rsidR="008C6B19" w:rsidRPr="001115C5" w:rsidRDefault="00BC0EC1" w:rsidP="00064063">
      <w:pPr>
        <w:pStyle w:val="ListParagraph"/>
        <w:numPr>
          <w:ilvl w:val="0"/>
          <w:numId w:val="14"/>
        </w:numPr>
        <w:spacing w:after="240"/>
        <w:ind w:left="360"/>
        <w:contextualSpacing w:val="0"/>
        <w:rPr>
          <w:rFonts w:ascii="Helvetica Neue" w:hAnsi="Helvetica Neue" w:cs="Arial"/>
        </w:rPr>
      </w:pPr>
      <w:r w:rsidRPr="001115C5">
        <w:rPr>
          <w:rFonts w:ascii="Helvetica Neue" w:hAnsi="Helvetica Neue" w:cs="Arial"/>
          <w:b/>
          <w:bCs/>
        </w:rPr>
        <w:t>Types of Prohibited Packaging and Labeling</w:t>
      </w:r>
      <w:r w:rsidRPr="001115C5">
        <w:rPr>
          <w:rFonts w:ascii="Helvetica Neue" w:hAnsi="Helvetica Neue" w:cs="Arial"/>
        </w:rPr>
        <w:t xml:space="preserve">. It shall be a violation of this </w:t>
      </w:r>
      <w:r w:rsidR="008B35D9" w:rsidRPr="001115C5">
        <w:rPr>
          <w:rFonts w:ascii="Helvetica Neue" w:hAnsi="Helvetica Neue" w:cs="Arial"/>
          <w:color w:val="FF0000"/>
        </w:rPr>
        <w:t>[Article/Chapter]</w:t>
      </w:r>
      <w:r w:rsidRPr="001115C5">
        <w:rPr>
          <w:rFonts w:ascii="Helvetica Neue" w:hAnsi="Helvetica Neue" w:cs="Arial"/>
        </w:rPr>
        <w:t xml:space="preserve"> for any Cannabis Retailer or any of the Cannabis Retailer’s agents or employees to sell, offer for sale, or to possess with intent to sell:</w:t>
      </w:r>
    </w:p>
    <w:p w14:paraId="7F1C1AA4" w14:textId="52E78156" w:rsidR="00BC0EC1" w:rsidRPr="001115C5" w:rsidRDefault="00BC0EC1" w:rsidP="00064063">
      <w:pPr>
        <w:pStyle w:val="ListParagraph"/>
        <w:numPr>
          <w:ilvl w:val="1"/>
          <w:numId w:val="12"/>
        </w:numPr>
        <w:spacing w:after="240"/>
        <w:ind w:left="792"/>
        <w:contextualSpacing w:val="0"/>
        <w:rPr>
          <w:rFonts w:ascii="Helvetica Neue" w:hAnsi="Helvetica Neue" w:cs="Arial"/>
        </w:rPr>
      </w:pPr>
      <w:r w:rsidRPr="001115C5">
        <w:rPr>
          <w:rFonts w:ascii="Helvetica Neue" w:hAnsi="Helvetica Neue" w:cs="Arial"/>
        </w:rPr>
        <w:t>Cannabis or Cannabis Products with Packaging or Labeling that is Attractive to Youth.</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BC0EC1" w:rsidRPr="001115C5" w14:paraId="27DBB91A" w14:textId="77777777" w:rsidTr="00895773">
        <w:tc>
          <w:tcPr>
            <w:tcW w:w="10188" w:type="dxa"/>
            <w:shd w:val="clear" w:color="auto" w:fill="D9D9D9" w:themeFill="background1" w:themeFillShade="D9"/>
          </w:tcPr>
          <w:p w14:paraId="4F2CDD3B" w14:textId="6CD3F511" w:rsidR="00BC0EC1" w:rsidRPr="001115C5" w:rsidRDefault="00BC0EC1" w:rsidP="007C0C82">
            <w:pPr>
              <w:spacing w:before="240" w:after="120" w:line="360" w:lineRule="auto"/>
              <w:rPr>
                <w:rFonts w:ascii="Helvetica Neue" w:eastAsia="Helvetica Neue" w:hAnsi="Helvetica Neue" w:cs="Arial"/>
              </w:rPr>
            </w:pPr>
            <w:r w:rsidRPr="001115C5">
              <w:rPr>
                <w:rFonts w:ascii="Helvetica Neue" w:eastAsia="Helvetica Neue" w:hAnsi="Helvetica Neue" w:cs="Arial"/>
                <w:b/>
                <w:bCs/>
              </w:rPr>
              <w:lastRenderedPageBreak/>
              <w:t>COMMENT</w:t>
            </w:r>
            <w:r w:rsidRPr="001115C5">
              <w:rPr>
                <w:rFonts w:ascii="Helvetica Neue" w:eastAsia="Helvetica Neue" w:hAnsi="Helvetica Neue" w:cs="Arial"/>
              </w:rPr>
              <w:t>: State law (Business and Professions Code section 26120(b)) forbids packaging and labeling attractive to children; however, California law does not provide a definition of what constitutes attractiveness to children. CDPH regulations have given some shape to the concept of attractive to youth and provides that a product shall not (Section 40300 (k)(l)(m) Packaging and labeling and their regulation are developing rapidly. While a plain-packaging ordinance would be the most effective for limiting youth appeal and is increasingly used for tobacco internationally, and in Canada for cannabis, the current interpretation of the First Amendment may obstruct such a tobacco-focused measure in the U.S., although it has been proposed in one state. This section provides a list of possible options based on the evidence we have to date. Communities should decide which options they want to include.</w:t>
            </w:r>
          </w:p>
          <w:p w14:paraId="52A89151" w14:textId="07300272" w:rsidR="00BC0EC1" w:rsidRPr="001115C5" w:rsidRDefault="00BC0EC1" w:rsidP="007C0C82">
            <w:pPr>
              <w:spacing w:before="120" w:after="120" w:line="360" w:lineRule="auto"/>
              <w:rPr>
                <w:rFonts w:ascii="Helvetica Neue" w:eastAsia="Helvetica Neue" w:hAnsi="Helvetica Neue" w:cs="Arial"/>
              </w:rPr>
            </w:pPr>
            <w:r w:rsidRPr="001115C5">
              <w:rPr>
                <w:rFonts w:ascii="Helvetica Neue" w:eastAsia="Helvetica Neue" w:hAnsi="Helvetica Neue" w:cs="Arial"/>
              </w:rPr>
              <w:t>State law currently requires packaging to be child-resistant, which means designed or constructed to be significantly difficult for children under five years of age to open, and not difficult for normal adults to use properly (Section 26120(a) of the Business &amp; Professions Code). Further, state law requires that Cannabis or Cannabis Products purchased by a customer not leave a licensed Retail Premises unless they are placed in an opaque exit package (Section 26070.1 of the Business &amp; Professions Code.)</w:t>
            </w:r>
          </w:p>
        </w:tc>
      </w:tr>
    </w:tbl>
    <w:p w14:paraId="02789DD2" w14:textId="77777777" w:rsidR="008C6B19" w:rsidRPr="001115C5" w:rsidRDefault="00BC0EC1" w:rsidP="00064063">
      <w:pPr>
        <w:pStyle w:val="ListParagraph"/>
        <w:numPr>
          <w:ilvl w:val="1"/>
          <w:numId w:val="12"/>
        </w:numPr>
        <w:spacing w:before="480" w:after="240"/>
        <w:ind w:left="792"/>
        <w:contextualSpacing w:val="0"/>
        <w:rPr>
          <w:rFonts w:ascii="Helvetica Neue" w:hAnsi="Helvetica Neue" w:cs="Arial"/>
        </w:rPr>
      </w:pPr>
      <w:r w:rsidRPr="001115C5">
        <w:rPr>
          <w:rFonts w:ascii="Helvetica Neue" w:hAnsi="Helvetica Neue" w:cs="Arial"/>
        </w:rPr>
        <w:t>Cannabis or Cannabis Products whose Packaging, Labeling or Marketing include:</w:t>
      </w:r>
    </w:p>
    <w:p w14:paraId="487BA576" w14:textId="551F6DD0" w:rsidR="008C6B19" w:rsidRPr="001115C5" w:rsidRDefault="00BC0EC1" w:rsidP="00064063">
      <w:pPr>
        <w:pStyle w:val="ListParagraph"/>
        <w:numPr>
          <w:ilvl w:val="2"/>
          <w:numId w:val="12"/>
        </w:numPr>
        <w:spacing w:after="240"/>
        <w:ind w:left="1170" w:hanging="306"/>
        <w:contextualSpacing w:val="0"/>
        <w:rPr>
          <w:rFonts w:ascii="Helvetica Neue" w:hAnsi="Helvetica Neue" w:cs="Arial"/>
        </w:rPr>
      </w:pPr>
      <w:r w:rsidRPr="001115C5">
        <w:rPr>
          <w:rFonts w:ascii="Helvetica Neue" w:hAnsi="Helvetica Neue" w:cs="Arial"/>
        </w:rPr>
        <w:t>Claims of health, therapeutic or curative effects, including</w:t>
      </w:r>
      <w:r w:rsidR="00F14A92">
        <w:rPr>
          <w:rFonts w:ascii="Helvetica Neue" w:hAnsi="Helvetica Neue" w:cs="Arial"/>
        </w:rPr>
        <w:t>,</w:t>
      </w:r>
      <w:r w:rsidRPr="001115C5">
        <w:rPr>
          <w:rFonts w:ascii="Helvetica Neue" w:hAnsi="Helvetica Neue" w:cs="Arial"/>
        </w:rPr>
        <w:t xml:space="preserve"> without limitati health and medical claims and structure and function claims as defined by the Food and Drug Administration</w:t>
      </w:r>
      <w:r w:rsidR="00F14A92">
        <w:rPr>
          <w:rFonts w:ascii="Helvetica Neue" w:hAnsi="Helvetica Neue" w:cs="Arial"/>
        </w:rPr>
        <w:t xml:space="preserve"> (FDA)</w:t>
      </w:r>
      <w:r w:rsidRPr="001115C5">
        <w:rPr>
          <w:rFonts w:ascii="Helvetica Neue" w:hAnsi="Helvetica Neue" w:cs="Arial"/>
        </w:rPr>
        <w:t xml:space="preserve"> and the Federal Trade Commission</w:t>
      </w:r>
      <w:r w:rsidR="00F14A92">
        <w:rPr>
          <w:rFonts w:ascii="Helvetica Neue" w:hAnsi="Helvetica Neue" w:cs="Arial"/>
        </w:rPr>
        <w:t>, not specifically approved by the FDA.</w:t>
      </w:r>
    </w:p>
    <w:p w14:paraId="1461067E" w14:textId="77777777" w:rsidR="008C6B19" w:rsidRPr="001115C5" w:rsidRDefault="00BC0EC1" w:rsidP="00064063">
      <w:pPr>
        <w:pStyle w:val="ListParagraph"/>
        <w:numPr>
          <w:ilvl w:val="2"/>
          <w:numId w:val="12"/>
        </w:numPr>
        <w:spacing w:after="240"/>
        <w:ind w:left="1170" w:hanging="306"/>
        <w:contextualSpacing w:val="0"/>
        <w:rPr>
          <w:rFonts w:ascii="Helvetica Neue" w:hAnsi="Helvetica Neue" w:cs="Arial"/>
        </w:rPr>
      </w:pPr>
      <w:r w:rsidRPr="001115C5">
        <w:rPr>
          <w:rFonts w:ascii="Helvetica Neue" w:hAnsi="Helvetica Neue" w:cs="Arial"/>
        </w:rPr>
        <w:t>Claims, beyond listing the product’s cannabinoid content, that are related to potency, strength, or the product’s intoxicating effects or “high;” or</w:t>
      </w:r>
    </w:p>
    <w:p w14:paraId="1634342B" w14:textId="77777777" w:rsidR="008C6B19" w:rsidRPr="001115C5" w:rsidRDefault="00BC0EC1" w:rsidP="00064063">
      <w:pPr>
        <w:pStyle w:val="ListParagraph"/>
        <w:numPr>
          <w:ilvl w:val="2"/>
          <w:numId w:val="12"/>
        </w:numPr>
        <w:spacing w:after="240"/>
        <w:ind w:left="1170" w:hanging="306"/>
        <w:contextualSpacing w:val="0"/>
        <w:rPr>
          <w:rFonts w:ascii="Helvetica Neue" w:hAnsi="Helvetica Neue" w:cs="Arial"/>
        </w:rPr>
      </w:pPr>
      <w:r w:rsidRPr="001115C5">
        <w:rPr>
          <w:rFonts w:ascii="Helvetica Neue" w:hAnsi="Helvetica Neue" w:cs="Arial"/>
        </w:rPr>
        <w:t>Claims or terms that imply that the Cannabis or Cannabis product is safe or healthy, including the terms “natural” or “organic,” aside from instances where the terms are used in an ingredient list to describe an added non-Cannabis ingredient.</w:t>
      </w:r>
    </w:p>
    <w:p w14:paraId="288CB938" w14:textId="77777777" w:rsidR="008C6B19" w:rsidRPr="001115C5" w:rsidRDefault="00BC0EC1" w:rsidP="00064063">
      <w:pPr>
        <w:pStyle w:val="ListParagraph"/>
        <w:numPr>
          <w:ilvl w:val="1"/>
          <w:numId w:val="12"/>
        </w:numPr>
        <w:spacing w:after="240"/>
        <w:ind w:left="792"/>
        <w:contextualSpacing w:val="0"/>
        <w:rPr>
          <w:rFonts w:ascii="Helvetica Neue" w:hAnsi="Helvetica Neue" w:cs="Arial"/>
        </w:rPr>
      </w:pPr>
      <w:r w:rsidRPr="001115C5">
        <w:rPr>
          <w:rFonts w:ascii="Helvetica Neue" w:hAnsi="Helvetica Neue" w:cs="Arial"/>
        </w:rPr>
        <w:lastRenderedPageBreak/>
        <w:t xml:space="preserve">Cannabis or Cannabis Product Packaging, Labeling, or Marketing that the </w:t>
      </w:r>
      <w:r w:rsidRPr="001115C5">
        <w:rPr>
          <w:rFonts w:ascii="Helvetica Neue" w:hAnsi="Helvetica Neue" w:cs="Arial"/>
          <w:color w:val="FF0000"/>
        </w:rPr>
        <w:t>Department</w:t>
      </w:r>
      <w:r w:rsidRPr="001115C5">
        <w:rPr>
          <w:rFonts w:ascii="Helvetica Neue" w:hAnsi="Helvetica Neue" w:cs="Arial"/>
        </w:rPr>
        <w:t xml:space="preserve"> determines has unique or trademarked characteristics of a commercially available non-Cannabis-containing product that </w:t>
      </w:r>
      <w:r w:rsidR="00986637" w:rsidRPr="001115C5">
        <w:rPr>
          <w:rFonts w:ascii="Helvetica Neue" w:hAnsi="Helvetica Neue" w:cs="Arial"/>
        </w:rPr>
        <w:t>c</w:t>
      </w:r>
      <w:r w:rsidRPr="001115C5">
        <w:rPr>
          <w:rFonts w:ascii="Helvetica Neue" w:hAnsi="Helvetica Neue" w:cs="Arial"/>
        </w:rPr>
        <w:t xml:space="preserve">ould result in the Cannabis or Cannabis Product Packaging being easily confused for a non-Cannabis-containing </w:t>
      </w:r>
      <w:proofErr w:type="gramStart"/>
      <w:r w:rsidRPr="001115C5">
        <w:rPr>
          <w:rFonts w:ascii="Helvetica Neue" w:hAnsi="Helvetica Neue" w:cs="Arial"/>
        </w:rPr>
        <w:t>product;</w:t>
      </w:r>
      <w:proofErr w:type="gramEnd"/>
    </w:p>
    <w:p w14:paraId="3E24C350" w14:textId="77777777" w:rsidR="008C6B19" w:rsidRPr="001115C5" w:rsidRDefault="00BC0EC1" w:rsidP="00064063">
      <w:pPr>
        <w:pStyle w:val="ListParagraph"/>
        <w:numPr>
          <w:ilvl w:val="1"/>
          <w:numId w:val="12"/>
        </w:numPr>
        <w:spacing w:after="240"/>
        <w:ind w:left="792"/>
        <w:contextualSpacing w:val="0"/>
        <w:rPr>
          <w:rFonts w:ascii="Helvetica Neue" w:hAnsi="Helvetica Neue" w:cs="Arial"/>
        </w:rPr>
      </w:pPr>
      <w:r w:rsidRPr="001115C5">
        <w:rPr>
          <w:rFonts w:ascii="Helvetica Neue" w:hAnsi="Helvetica Neue" w:cs="Arial"/>
        </w:rPr>
        <w:t xml:space="preserve">Cannabis Products intended for oral consumption, including Edible Cannabis Products, that are not packaged and labeled in a way that ensures simple recognition of individual servings by the consumer to support consumption of accurate </w:t>
      </w:r>
      <w:proofErr w:type="gramStart"/>
      <w:r w:rsidRPr="001115C5">
        <w:rPr>
          <w:rFonts w:ascii="Helvetica Neue" w:hAnsi="Helvetica Neue" w:cs="Arial"/>
        </w:rPr>
        <w:t>doses;</w:t>
      </w:r>
      <w:proofErr w:type="gramEnd"/>
    </w:p>
    <w:p w14:paraId="453A31CC" w14:textId="77777777" w:rsidR="008C6B19" w:rsidRPr="001115C5" w:rsidRDefault="00BC0EC1" w:rsidP="00064063">
      <w:pPr>
        <w:pStyle w:val="ListParagraph"/>
        <w:numPr>
          <w:ilvl w:val="1"/>
          <w:numId w:val="12"/>
        </w:numPr>
        <w:spacing w:after="240"/>
        <w:ind w:left="792"/>
        <w:contextualSpacing w:val="0"/>
        <w:rPr>
          <w:rFonts w:ascii="Helvetica Neue" w:hAnsi="Helvetica Neue" w:cs="Arial"/>
        </w:rPr>
      </w:pPr>
      <w:r w:rsidRPr="001115C5">
        <w:rPr>
          <w:rFonts w:ascii="Helvetica Neue" w:hAnsi="Helvetica Neue" w:cs="Arial"/>
        </w:rPr>
        <w:t>Appropriate Packaging and Labeling measures should include:</w:t>
      </w:r>
    </w:p>
    <w:p w14:paraId="1F65C270" w14:textId="62A661BC" w:rsidR="008C6B19" w:rsidRPr="001115C5" w:rsidRDefault="00BC0EC1" w:rsidP="00064063">
      <w:pPr>
        <w:pStyle w:val="ListParagraph"/>
        <w:numPr>
          <w:ilvl w:val="2"/>
          <w:numId w:val="12"/>
        </w:numPr>
        <w:spacing w:after="240"/>
        <w:ind w:left="1170" w:hanging="306"/>
        <w:contextualSpacing w:val="0"/>
        <w:rPr>
          <w:rFonts w:ascii="Helvetica Neue" w:hAnsi="Helvetica Neue" w:cs="Arial"/>
        </w:rPr>
      </w:pPr>
      <w:r w:rsidRPr="001115C5">
        <w:rPr>
          <w:rFonts w:ascii="Helvetica Neue" w:hAnsi="Helvetica Neue" w:cs="Arial"/>
        </w:rPr>
        <w:t>Clear instructions as to what constitutes a single serving;</w:t>
      </w:r>
      <w:r w:rsidR="004A7F31">
        <w:rPr>
          <w:rFonts w:ascii="Helvetica Neue" w:hAnsi="Helvetica Neue" w:cs="Arial"/>
        </w:rPr>
        <w:t xml:space="preserve"> and</w:t>
      </w:r>
    </w:p>
    <w:p w14:paraId="4B3ED34C" w14:textId="5D36EE6D" w:rsidR="00BC0EC1" w:rsidRPr="001115C5" w:rsidRDefault="00BC0EC1" w:rsidP="00064063">
      <w:pPr>
        <w:pStyle w:val="ListParagraph"/>
        <w:numPr>
          <w:ilvl w:val="2"/>
          <w:numId w:val="12"/>
        </w:numPr>
        <w:spacing w:after="240"/>
        <w:ind w:left="1170" w:hanging="306"/>
        <w:contextualSpacing w:val="0"/>
        <w:rPr>
          <w:rFonts w:ascii="Helvetica Neue" w:hAnsi="Helvetica Neue" w:cs="Arial"/>
        </w:rPr>
      </w:pPr>
      <w:r w:rsidRPr="001115C5">
        <w:rPr>
          <w:rFonts w:ascii="Helvetica Neue" w:hAnsi="Helvetica Neue" w:cs="Arial"/>
        </w:rPr>
        <w:t>Individually packaged single servings of the Cannabis Product.</w:t>
      </w:r>
    </w:p>
    <w:p w14:paraId="2A7A7CB4" w14:textId="77777777" w:rsidR="00CB659F" w:rsidRPr="001115C5" w:rsidRDefault="00BC0EC1" w:rsidP="00064063">
      <w:pPr>
        <w:pStyle w:val="ListParagraph"/>
        <w:numPr>
          <w:ilvl w:val="2"/>
          <w:numId w:val="12"/>
        </w:numPr>
        <w:spacing w:after="240"/>
        <w:ind w:left="360" w:hanging="360"/>
        <w:contextualSpacing w:val="0"/>
        <w:rPr>
          <w:rFonts w:ascii="Helvetica Neue" w:hAnsi="Helvetica Neue" w:cs="Arial"/>
        </w:rPr>
      </w:pPr>
      <w:r w:rsidRPr="001115C5">
        <w:rPr>
          <w:rFonts w:ascii="Helvetica Neue" w:hAnsi="Helvetica Neue" w:cs="Arial"/>
          <w:b/>
          <w:bCs/>
        </w:rPr>
        <w:t>Cannabis Product Dose Diversity</w:t>
      </w:r>
      <w:r w:rsidRPr="001115C5">
        <w:rPr>
          <w:rFonts w:ascii="Helvetica Neue" w:hAnsi="Helvetica Neue" w:cs="Arial"/>
        </w:rPr>
        <w:t xml:space="preserve">. It shall be a violation of this </w:t>
      </w:r>
      <w:r w:rsidR="008B35D9" w:rsidRPr="001115C5">
        <w:rPr>
          <w:rFonts w:ascii="Helvetica Neue" w:hAnsi="Helvetica Neue" w:cs="Arial"/>
          <w:color w:val="FF0000"/>
        </w:rPr>
        <w:t>[Article/Chapter]</w:t>
      </w:r>
      <w:r w:rsidRPr="001115C5">
        <w:rPr>
          <w:rFonts w:ascii="Helvetica Neue" w:hAnsi="Helvetica Neue" w:cs="Arial"/>
        </w:rPr>
        <w:t xml:space="preserve"> for any Cannabis Retailer to offer for sale:</w:t>
      </w:r>
    </w:p>
    <w:p w14:paraId="4A9A0AD6" w14:textId="77777777" w:rsidR="00CB659F" w:rsidRPr="001115C5" w:rsidRDefault="00BC0EC1" w:rsidP="00064063">
      <w:pPr>
        <w:pStyle w:val="ListParagraph"/>
        <w:numPr>
          <w:ilvl w:val="0"/>
          <w:numId w:val="13"/>
        </w:numPr>
        <w:spacing w:after="240"/>
        <w:ind w:left="792"/>
        <w:contextualSpacing w:val="0"/>
        <w:rPr>
          <w:rFonts w:ascii="Helvetica Neue" w:hAnsi="Helvetica Neue" w:cs="Arial"/>
        </w:rPr>
      </w:pPr>
      <w:r w:rsidRPr="001115C5">
        <w:rPr>
          <w:rFonts w:ascii="Helvetica Neue" w:hAnsi="Helvetica Neue" w:cs="Arial"/>
        </w:rPr>
        <w:t xml:space="preserve">More product variations (Stock Keeping Units or SKUs) of </w:t>
      </w:r>
      <w:proofErr w:type="gramStart"/>
      <w:r w:rsidRPr="001115C5">
        <w:rPr>
          <w:rFonts w:ascii="Helvetica Neue" w:hAnsi="Helvetica Neue" w:cs="Arial"/>
        </w:rPr>
        <w:t>orally-consumed</w:t>
      </w:r>
      <w:proofErr w:type="gramEnd"/>
      <w:r w:rsidRPr="001115C5">
        <w:rPr>
          <w:rFonts w:ascii="Helvetica Neue" w:hAnsi="Helvetica Neue" w:cs="Arial"/>
        </w:rPr>
        <w:t xml:space="preserve"> Cannabis Products, including Edible Cannabis Products, that contain 10mg THC per serving than the number of product variations that contain 5mg THC or less per serving;</w:t>
      </w:r>
    </w:p>
    <w:p w14:paraId="20F0D859" w14:textId="75294070" w:rsidR="00BC0EC1" w:rsidRPr="001115C5" w:rsidRDefault="00BC0EC1" w:rsidP="00064063">
      <w:pPr>
        <w:pStyle w:val="ListParagraph"/>
        <w:numPr>
          <w:ilvl w:val="0"/>
          <w:numId w:val="13"/>
        </w:numPr>
        <w:spacing w:after="240"/>
        <w:ind w:left="792"/>
        <w:contextualSpacing w:val="0"/>
        <w:rPr>
          <w:rFonts w:ascii="Helvetica Neue" w:hAnsi="Helvetica Neue" w:cs="Arial"/>
        </w:rPr>
      </w:pPr>
      <w:r w:rsidRPr="001115C5">
        <w:rPr>
          <w:rFonts w:ascii="Helvetica Neue" w:hAnsi="Helvetica Neue" w:cs="Arial"/>
        </w:rPr>
        <w:t>More types of Dried Cannabis that contains greater than 15% THC than it does types of Dried Cannabis that contains less than 15% THC.</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BC0EC1" w:rsidRPr="001115C5" w14:paraId="6C4E43DE" w14:textId="77777777" w:rsidTr="00895773">
        <w:tc>
          <w:tcPr>
            <w:tcW w:w="10188" w:type="dxa"/>
            <w:shd w:val="clear" w:color="auto" w:fill="D9D9D9" w:themeFill="background1" w:themeFillShade="D9"/>
          </w:tcPr>
          <w:p w14:paraId="6DDD5CDE" w14:textId="0E98566E" w:rsidR="00BC0EC1" w:rsidRPr="001115C5" w:rsidRDefault="00BC0EC1" w:rsidP="00BC0EC1">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The general recommendation for the use of Edible Cannabis Products is to “Start Low and Go Slow.” This provision ensures that retailers are offering lower doses available to the consumer so that this is possible. Even if the Retailer sells more of the higher dose products, they would at the least be required to carry the lower dose products as well. Similarly, for Dried Cannabis, this provision would assure that consumers can access lower dose Dried Cannabis options that have lower risk of adverse reactions while still being able to stock volumes appropriate to demand.</w:t>
            </w:r>
          </w:p>
          <w:p w14:paraId="2AB3E50D" w14:textId="2C05C239" w:rsidR="00BC0EC1" w:rsidRPr="001115C5" w:rsidRDefault="00BC0EC1" w:rsidP="00BC0EC1">
            <w:pPr>
              <w:spacing w:before="120" w:after="120" w:line="360" w:lineRule="auto"/>
              <w:rPr>
                <w:rFonts w:ascii="Helvetica Neue" w:eastAsia="Helvetica Neue" w:hAnsi="Helvetica Neue" w:cs="Arial"/>
              </w:rPr>
            </w:pPr>
            <w:r w:rsidRPr="001115C5">
              <w:rPr>
                <w:rFonts w:ascii="Helvetica Neue" w:eastAsia="Helvetica Neue" w:hAnsi="Helvetica Neue" w:cs="Arial"/>
              </w:rPr>
              <w:t>A basic worrisome trend in the Cannabis market is the extensive use of product diversification strategies, also employed by the tobacco and alcohol industries, which are well-known to be associated with youth initiation and use. This includes a large variety of edibles including soda-</w:t>
            </w:r>
            <w:r w:rsidRPr="001115C5">
              <w:rPr>
                <w:rFonts w:ascii="Helvetica Neue" w:eastAsia="Helvetica Neue" w:hAnsi="Helvetica Neue" w:cs="Arial"/>
              </w:rPr>
              <w:lastRenderedPageBreak/>
              <w:t>like beverages or Cannabis Products resembling existing candies or sweets, as well as flavored Cannabis Products intended for inhalation, such as grape-flavored vapes or blunts.</w:t>
            </w:r>
          </w:p>
          <w:p w14:paraId="24159DAA" w14:textId="5267007C" w:rsidR="00BC0EC1" w:rsidRPr="001115C5" w:rsidRDefault="00BC0EC1" w:rsidP="00BC0EC1">
            <w:pPr>
              <w:spacing w:before="120" w:after="120" w:line="360" w:lineRule="auto"/>
              <w:rPr>
                <w:rFonts w:ascii="Helvetica Neue" w:eastAsia="Helvetica Neue" w:hAnsi="Helvetica Neue" w:cs="Arial"/>
              </w:rPr>
            </w:pPr>
            <w:r w:rsidRPr="001115C5">
              <w:rPr>
                <w:rFonts w:ascii="Helvetica Neue" w:eastAsia="Helvetica Neue" w:hAnsi="Helvetica Neue" w:cs="Arial"/>
              </w:rPr>
              <w:t>This section seeks to reduce the proliferation of Cannabis or Cannabis Products, that are known to attract youth, while still permitting a reasonable but limited selection of Cannabis Products for adults. These trait of being Attractive to Children or of having Characterizing Flavors can be expressed in any or all of the areas of product design, package design, labeling and/or marketing materials. This model ordinance seeks to address these issues wherever they are manifested.</w:t>
            </w:r>
          </w:p>
        </w:tc>
      </w:tr>
    </w:tbl>
    <w:p w14:paraId="37839616" w14:textId="02E16CA2" w:rsidR="00BC0EC1" w:rsidRPr="001115C5" w:rsidRDefault="00BC0EC1" w:rsidP="00CB659F">
      <w:pPr>
        <w:pStyle w:val="Heading3"/>
        <w:spacing w:before="480" w:after="240"/>
        <w:rPr>
          <w:rFonts w:ascii="Helvetica Neue" w:hAnsi="Helvetica Neue"/>
        </w:rPr>
      </w:pPr>
      <w:bookmarkStart w:id="15" w:name="_Toc65578300"/>
      <w:r w:rsidRPr="001115C5">
        <w:rPr>
          <w:rFonts w:ascii="Helvetica Neue" w:hAnsi="Helvetica Neue"/>
        </w:rPr>
        <w:lastRenderedPageBreak/>
        <w:t>Section H. PRICING AND DISCOUNTING.</w:t>
      </w:r>
      <w:bookmarkEnd w:id="15"/>
    </w:p>
    <w:p w14:paraId="42AF876A" w14:textId="77777777" w:rsidR="007C0C82" w:rsidRPr="001115C5" w:rsidRDefault="00BC0EC1" w:rsidP="00064063">
      <w:pPr>
        <w:pStyle w:val="ListParagraph"/>
        <w:numPr>
          <w:ilvl w:val="0"/>
          <w:numId w:val="15"/>
        </w:numPr>
        <w:spacing w:after="240"/>
        <w:ind w:left="360"/>
        <w:contextualSpacing w:val="0"/>
        <w:rPr>
          <w:rFonts w:ascii="Helvetica Neue" w:hAnsi="Helvetica Neue" w:cs="Arial"/>
        </w:rPr>
      </w:pPr>
      <w:r w:rsidRPr="001115C5">
        <w:rPr>
          <w:rFonts w:ascii="Helvetica Neue" w:hAnsi="Helvetica Neue" w:cs="Arial"/>
        </w:rPr>
        <w:t>Prohibition on the Sale of Cannabis for Less Than the Listed Price. No Cannabis Retailer shall:</w:t>
      </w:r>
    </w:p>
    <w:p w14:paraId="68384A21" w14:textId="77777777" w:rsidR="007C0C82" w:rsidRPr="001115C5" w:rsidRDefault="00BC0EC1" w:rsidP="00064063">
      <w:pPr>
        <w:pStyle w:val="ListParagraph"/>
        <w:numPr>
          <w:ilvl w:val="1"/>
          <w:numId w:val="15"/>
        </w:numPr>
        <w:spacing w:after="240"/>
        <w:ind w:left="792"/>
        <w:contextualSpacing w:val="0"/>
        <w:rPr>
          <w:rFonts w:ascii="Helvetica Neue" w:hAnsi="Helvetica Neue" w:cs="Arial"/>
        </w:rPr>
      </w:pPr>
      <w:r w:rsidRPr="001115C5">
        <w:rPr>
          <w:rFonts w:ascii="Helvetica Neue" w:hAnsi="Helvetica Neue" w:cs="Arial"/>
        </w:rPr>
        <w:t xml:space="preserve">Honor or accept a Price Reduction Instrument in any transaction related to the sale of Cannabis or Cannabis Products to a </w:t>
      </w:r>
      <w:proofErr w:type="gramStart"/>
      <w:r w:rsidRPr="001115C5">
        <w:rPr>
          <w:rFonts w:ascii="Helvetica Neue" w:hAnsi="Helvetica Neue" w:cs="Arial"/>
        </w:rPr>
        <w:t>consumer;</w:t>
      </w:r>
      <w:proofErr w:type="gramEnd"/>
    </w:p>
    <w:p w14:paraId="3EB6BF06" w14:textId="77777777" w:rsidR="007C0C82" w:rsidRPr="001115C5" w:rsidRDefault="00BC0EC1" w:rsidP="00064063">
      <w:pPr>
        <w:pStyle w:val="ListParagraph"/>
        <w:numPr>
          <w:ilvl w:val="1"/>
          <w:numId w:val="15"/>
        </w:numPr>
        <w:spacing w:after="240"/>
        <w:ind w:left="792"/>
        <w:contextualSpacing w:val="0"/>
        <w:rPr>
          <w:rFonts w:ascii="Helvetica Neue" w:hAnsi="Helvetica Neue" w:cs="Arial"/>
        </w:rPr>
      </w:pPr>
      <w:r w:rsidRPr="001115C5">
        <w:rPr>
          <w:rFonts w:ascii="Helvetica Neue" w:hAnsi="Helvetica Neue" w:cs="Arial"/>
        </w:rPr>
        <w:t xml:space="preserve">Sell or offer for sale Cannabis or Cannabis Products through any multi-package discount or otherwise provide a consumer any Cannabis or Cannabis Products for less than the Listed Price in exchange for the purchase of any other Cannabis or Cannabis </w:t>
      </w:r>
      <w:proofErr w:type="gramStart"/>
      <w:r w:rsidRPr="001115C5">
        <w:rPr>
          <w:rFonts w:ascii="Helvetica Neue" w:hAnsi="Helvetica Neue" w:cs="Arial"/>
        </w:rPr>
        <w:t>Product;</w:t>
      </w:r>
      <w:proofErr w:type="gramEnd"/>
    </w:p>
    <w:p w14:paraId="70A7DC4F" w14:textId="77777777" w:rsidR="007C0C82" w:rsidRPr="001115C5" w:rsidRDefault="00BC0EC1" w:rsidP="00064063">
      <w:pPr>
        <w:pStyle w:val="ListParagraph"/>
        <w:numPr>
          <w:ilvl w:val="1"/>
          <w:numId w:val="15"/>
        </w:numPr>
        <w:spacing w:after="240"/>
        <w:ind w:left="792"/>
        <w:contextualSpacing w:val="0"/>
        <w:rPr>
          <w:rFonts w:ascii="Helvetica Neue" w:hAnsi="Helvetica Neue" w:cs="Arial"/>
        </w:rPr>
      </w:pPr>
      <w:r w:rsidRPr="001115C5">
        <w:rPr>
          <w:rFonts w:ascii="Helvetica Neue" w:hAnsi="Helvetica Neue" w:cs="Arial"/>
        </w:rPr>
        <w:t>Sell, sell at a discount, offer for sale, or otherwise provide any product other than Cannabis or Cannabis Products in exchange for or in consideration of the purchase of Cannabis or Cannabis Products; or</w:t>
      </w:r>
    </w:p>
    <w:p w14:paraId="60AE91A0" w14:textId="02D997F9" w:rsidR="00BC0EC1" w:rsidRPr="001115C5" w:rsidRDefault="00BC0EC1" w:rsidP="00064063">
      <w:pPr>
        <w:pStyle w:val="ListParagraph"/>
        <w:numPr>
          <w:ilvl w:val="1"/>
          <w:numId w:val="15"/>
        </w:numPr>
        <w:spacing w:after="240"/>
        <w:ind w:left="792"/>
        <w:contextualSpacing w:val="0"/>
        <w:rPr>
          <w:rFonts w:ascii="Helvetica Neue" w:hAnsi="Helvetica Neue" w:cs="Arial"/>
        </w:rPr>
      </w:pPr>
      <w:r w:rsidRPr="001115C5">
        <w:rPr>
          <w:rFonts w:ascii="Helvetica Neue" w:hAnsi="Helvetica Neue" w:cs="Arial"/>
        </w:rPr>
        <w:t>Otherwise sell, offer for sale, or provide Cannabis or Cannabis Products for less than the Listed Price. In addition, Cannabis Retailers must sell, offer for sale, or provide Cannabis or Cannabis Products for the same listed price every day of the week in a given week.</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BC0EC1" w:rsidRPr="001115C5" w14:paraId="4FF7E1AD" w14:textId="77777777" w:rsidTr="00895773">
        <w:tc>
          <w:tcPr>
            <w:tcW w:w="10188" w:type="dxa"/>
            <w:shd w:val="clear" w:color="auto" w:fill="D9D9D9" w:themeFill="background1" w:themeFillShade="D9"/>
          </w:tcPr>
          <w:p w14:paraId="07BBF021" w14:textId="68793FFA" w:rsidR="00BC0EC1" w:rsidRPr="001115C5" w:rsidRDefault="00BC0EC1" w:rsidP="007E427C">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This measure allows Cannabis Retailers to set prices as they see fit and to modify them, including setting them low enough to help capture the illegal market. It prohibits, however, measures that encourage consumers to purchase more Cannabis or Cannabis Products than they might otherwise, such as two-for-the-price-of-one offers, time-limited coupons, or Discount Mondays or “buy X and get a free T-shirt.”</w:t>
            </w:r>
          </w:p>
        </w:tc>
      </w:tr>
    </w:tbl>
    <w:p w14:paraId="19023DB9" w14:textId="6B63E835" w:rsidR="00BC0EC1" w:rsidRPr="001115C5" w:rsidRDefault="00BC0EC1" w:rsidP="00064063">
      <w:pPr>
        <w:pStyle w:val="ListParagraph"/>
        <w:numPr>
          <w:ilvl w:val="0"/>
          <w:numId w:val="15"/>
        </w:numPr>
        <w:spacing w:before="480" w:after="240"/>
        <w:ind w:left="360"/>
        <w:rPr>
          <w:rFonts w:ascii="Helvetica Neue" w:hAnsi="Helvetica Neue" w:cs="Arial"/>
        </w:rPr>
      </w:pPr>
      <w:r w:rsidRPr="001115C5">
        <w:rPr>
          <w:rFonts w:ascii="Helvetica Neue" w:hAnsi="Helvetica Neue" w:cs="Arial"/>
          <w:b/>
          <w:bCs/>
        </w:rPr>
        <w:lastRenderedPageBreak/>
        <w:t>Price Floor for Cannabis and Cannabis Products</w:t>
      </w:r>
      <w:r w:rsidRPr="001115C5">
        <w:rPr>
          <w:rFonts w:ascii="Helvetica Neue" w:hAnsi="Helvetica Neue" w:cs="Arial"/>
        </w:rPr>
        <w:t xml:space="preserve">. The </w:t>
      </w:r>
      <w:r w:rsidRPr="001115C5">
        <w:rPr>
          <w:rFonts w:ascii="Helvetica Neue" w:hAnsi="Helvetica Neue" w:cs="Arial"/>
          <w:color w:val="FF0000"/>
        </w:rPr>
        <w:t>Department</w:t>
      </w:r>
      <w:r w:rsidRPr="001115C5">
        <w:rPr>
          <w:rFonts w:ascii="Helvetica Neue" w:hAnsi="Helvetica Neue" w:cs="Arial"/>
        </w:rPr>
        <w:t xml:space="preserve"> is authorized, but not required, after 5 years from the effective date of the ordinance adopting this </w:t>
      </w:r>
      <w:r w:rsidR="008B35D9" w:rsidRPr="001115C5">
        <w:rPr>
          <w:rFonts w:ascii="Helvetica Neue" w:hAnsi="Helvetica Neue" w:cs="Arial"/>
          <w:color w:val="FF0000"/>
        </w:rPr>
        <w:t>[Article/Chapter]</w:t>
      </w:r>
      <w:r w:rsidRPr="001115C5">
        <w:rPr>
          <w:rFonts w:ascii="Helvetica Neue" w:hAnsi="Helvetica Neue" w:cs="Arial"/>
        </w:rPr>
        <w:t xml:space="preserve">, to establish minimum prices for Cannabis and Cannabis Products. If so, Cannabis Retailers may not sell Cannabis or Cannabis Products below the minimum price; the </w:t>
      </w:r>
      <w:r w:rsidRPr="001115C5">
        <w:rPr>
          <w:rFonts w:ascii="Helvetica Neue" w:hAnsi="Helvetica Neue" w:cs="Arial"/>
          <w:color w:val="FF0000"/>
        </w:rPr>
        <w:t>Department</w:t>
      </w:r>
      <w:r w:rsidRPr="001115C5">
        <w:rPr>
          <w:rFonts w:ascii="Helvetica Neue" w:hAnsi="Helvetica Neue" w:cs="Arial"/>
        </w:rPr>
        <w:t xml:space="preserve"> must review the appropriateness of the Price Floor at least every two years after its establishment and may adjust it to account for inflation or as the </w:t>
      </w:r>
      <w:r w:rsidRPr="001115C5">
        <w:rPr>
          <w:rFonts w:ascii="Helvetica Neue" w:hAnsi="Helvetica Neue" w:cs="Arial"/>
          <w:color w:val="FF0000"/>
        </w:rPr>
        <w:t>Department</w:t>
      </w:r>
      <w:r w:rsidRPr="001115C5">
        <w:rPr>
          <w:rFonts w:ascii="Helvetica Neue" w:hAnsi="Helvetica Neue" w:cs="Arial"/>
        </w:rPr>
        <w:t xml:space="preserve"> otherwise deems appropriate to discourage illegal commerce. The </w:t>
      </w:r>
      <w:r w:rsidRPr="001115C5">
        <w:rPr>
          <w:rFonts w:ascii="Helvetica Neue" w:hAnsi="Helvetica Neue" w:cs="Arial"/>
          <w:color w:val="FF0000"/>
        </w:rPr>
        <w:t>Department</w:t>
      </w:r>
      <w:r w:rsidRPr="001115C5">
        <w:rPr>
          <w:rFonts w:ascii="Helvetica Neue" w:hAnsi="Helvetica Neue" w:cs="Arial"/>
        </w:rPr>
        <w:t xml:space="preserve"> may promulgate such rules as may be necessary to implement this paragraph.</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BC0EC1" w:rsidRPr="001115C5" w14:paraId="01980B5A" w14:textId="77777777" w:rsidTr="00895773">
        <w:tc>
          <w:tcPr>
            <w:tcW w:w="10188" w:type="dxa"/>
            <w:shd w:val="clear" w:color="auto" w:fill="D9D9D9" w:themeFill="background1" w:themeFillShade="D9"/>
          </w:tcPr>
          <w:p w14:paraId="680421F8" w14:textId="72EC9D43" w:rsidR="00BC0EC1" w:rsidRPr="001115C5" w:rsidRDefault="00BC0EC1" w:rsidP="007E427C">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xml:space="preserve">: </w:t>
            </w:r>
            <w:r w:rsidR="007E427C" w:rsidRPr="001115C5">
              <w:rPr>
                <w:rFonts w:ascii="Helvetica Neue" w:eastAsia="Helvetica Neue" w:hAnsi="Helvetica Neue" w:cs="Arial"/>
              </w:rPr>
              <w:t xml:space="preserve">This measure authorizes, but does not require, a local government to set Price Floors after 5 years of legalization. Minimum price measures have been used to discourage tobacco consumption by ensuring higher prices, but in the case of Cannabis should only be used once the illegal market has been well captured, to avoid driving consumers back to the illegal market. Prices are expected to fall after legalization. See the </w:t>
            </w:r>
            <w:hyperlink r:id="rId22" w:history="1">
              <w:r w:rsidR="007E427C" w:rsidRPr="001115C5">
                <w:rPr>
                  <w:rStyle w:val="Hyperlink"/>
                  <w:rFonts w:ascii="Helvetica Neue" w:eastAsia="Helvetica Neue" w:hAnsi="Helvetica Neue" w:cs="Arial"/>
                </w:rPr>
                <w:t>Sonoma County Tobacco Retail Licensing Ordinance</w:t>
              </w:r>
            </w:hyperlink>
            <w:r w:rsidR="007E427C" w:rsidRPr="001115C5">
              <w:rPr>
                <w:rFonts w:ascii="Helvetica Neue" w:eastAsia="Helvetica Neue" w:hAnsi="Helvetica Neue" w:cs="Arial"/>
              </w:rPr>
              <w:t xml:space="preserve"> (Sonoma County Code of Ordinances 32-A) for an example of use of minimum price laws for tobacco in California.</w:t>
            </w:r>
          </w:p>
        </w:tc>
      </w:tr>
    </w:tbl>
    <w:p w14:paraId="5A8F853A" w14:textId="55A52D09" w:rsidR="007E427C" w:rsidRPr="001115C5" w:rsidRDefault="007E427C" w:rsidP="007C0C82">
      <w:pPr>
        <w:pStyle w:val="Heading3"/>
        <w:spacing w:before="480" w:after="240"/>
        <w:rPr>
          <w:rFonts w:ascii="Helvetica Neue" w:hAnsi="Helvetica Neue"/>
        </w:rPr>
      </w:pPr>
      <w:bookmarkStart w:id="16" w:name="_Toc65578301"/>
      <w:r w:rsidRPr="001115C5">
        <w:rPr>
          <w:rFonts w:ascii="Helvetica Neue" w:hAnsi="Helvetica Neue"/>
        </w:rPr>
        <w:t>Section I. REQUIRED IN-STORE SAFETY INFORMATION</w:t>
      </w:r>
      <w:bookmarkEnd w:id="16"/>
    </w:p>
    <w:p w14:paraId="6F84A9A2" w14:textId="58225D7F" w:rsidR="007E427C" w:rsidRPr="001115C5" w:rsidRDefault="007E427C" w:rsidP="00064063">
      <w:pPr>
        <w:pStyle w:val="ListParagraph"/>
        <w:numPr>
          <w:ilvl w:val="0"/>
          <w:numId w:val="16"/>
        </w:numPr>
        <w:spacing w:after="240"/>
        <w:ind w:left="360"/>
        <w:rPr>
          <w:rFonts w:ascii="Helvetica Neue" w:hAnsi="Helvetica Neue" w:cs="Arial"/>
        </w:rPr>
      </w:pPr>
      <w:r w:rsidRPr="001115C5">
        <w:rPr>
          <w:rFonts w:ascii="Helvetica Neue" w:hAnsi="Helvetica Neue" w:cs="Arial"/>
        </w:rPr>
        <w:t>A storefront Cannabis Retailer must display a warning sign prominently behind the main dispensing counter. The sign must be at least 3 feet by 3 feet and be displayed at with mid-point 5 feet above the floor. The sign must be as follows:</w:t>
      </w:r>
    </w:p>
    <w:p w14:paraId="14B8A1F1" w14:textId="3989B7F9" w:rsidR="007E427C" w:rsidRPr="001115C5" w:rsidRDefault="007E427C" w:rsidP="00185EF3">
      <w:pPr>
        <w:spacing w:after="240"/>
        <w:ind w:left="360"/>
        <w:rPr>
          <w:rFonts w:ascii="Helvetica Neue" w:hAnsi="Helvetica Neue" w:cs="Arial"/>
        </w:rPr>
      </w:pPr>
      <w:r w:rsidRPr="001115C5">
        <w:rPr>
          <w:rFonts w:ascii="Helvetica Neue" w:hAnsi="Helvetica Neue" w:cs="Arial"/>
          <w:b/>
          <w:bCs/>
        </w:rPr>
        <w:t>WARNING</w:t>
      </w:r>
      <w:r w:rsidRPr="001115C5">
        <w:rPr>
          <w:rFonts w:ascii="Helvetica Neue" w:hAnsi="Helvetica Neue" w:cs="Arial"/>
        </w:rPr>
        <w:t>:</w:t>
      </w:r>
    </w:p>
    <w:p w14:paraId="0A294676" w14:textId="457625A6" w:rsidR="007E427C" w:rsidRPr="001115C5" w:rsidRDefault="007E427C" w:rsidP="006124C9">
      <w:pPr>
        <w:pStyle w:val="ListParagraph"/>
        <w:numPr>
          <w:ilvl w:val="0"/>
          <w:numId w:val="3"/>
        </w:numPr>
        <w:spacing w:after="240"/>
        <w:ind w:left="792"/>
        <w:contextualSpacing w:val="0"/>
        <w:rPr>
          <w:rFonts w:ascii="Helvetica Neue" w:hAnsi="Helvetica Neue" w:cs="Arial"/>
        </w:rPr>
      </w:pPr>
      <w:r w:rsidRPr="001115C5">
        <w:rPr>
          <w:rFonts w:ascii="Helvetica Neue" w:hAnsi="Helvetica Neue" w:cs="Arial"/>
        </w:rPr>
        <w:t>Are you pregnant or breastfeeding? According to the U.S. Centers for Disease Control (CDC), marijuana use during pregnancy can be harmful to your baby’s health, including causing low birth weight and developmental problems.</w:t>
      </w:r>
    </w:p>
    <w:p w14:paraId="6C80E146" w14:textId="608F34E2" w:rsidR="007E427C" w:rsidRPr="001115C5" w:rsidRDefault="007E427C" w:rsidP="006124C9">
      <w:pPr>
        <w:pStyle w:val="ListParagraph"/>
        <w:numPr>
          <w:ilvl w:val="0"/>
          <w:numId w:val="3"/>
        </w:numPr>
        <w:spacing w:after="240"/>
        <w:ind w:left="792"/>
        <w:contextualSpacing w:val="0"/>
        <w:rPr>
          <w:rFonts w:ascii="Helvetica Neue" w:hAnsi="Helvetica Neue" w:cs="Arial"/>
        </w:rPr>
      </w:pPr>
      <w:r w:rsidRPr="001115C5">
        <w:rPr>
          <w:rFonts w:ascii="Helvetica Neue" w:hAnsi="Helvetica Neue" w:cs="Arial"/>
        </w:rPr>
        <w:t>Marijuana use may be associated with greater risk of developing schizophrenia or other psychoses. Risk is highest for frequent users.</w:t>
      </w:r>
    </w:p>
    <w:p w14:paraId="274F346A" w14:textId="70ECAB4C" w:rsidR="007E427C" w:rsidRPr="001115C5" w:rsidRDefault="007E427C" w:rsidP="006124C9">
      <w:pPr>
        <w:pStyle w:val="ListParagraph"/>
        <w:numPr>
          <w:ilvl w:val="0"/>
          <w:numId w:val="3"/>
        </w:numPr>
        <w:spacing w:after="240"/>
        <w:ind w:left="792"/>
        <w:contextualSpacing w:val="0"/>
        <w:rPr>
          <w:rFonts w:ascii="Helvetica Neue" w:hAnsi="Helvetica Neue" w:cs="Arial"/>
        </w:rPr>
      </w:pPr>
      <w:r w:rsidRPr="001115C5">
        <w:rPr>
          <w:rFonts w:ascii="Helvetica Neue" w:hAnsi="Helvetica Neue" w:cs="Arial"/>
        </w:rPr>
        <w:t>Smoking marijuana long-term may make breathing problems worse and vaping has been associated with serious lung disease.</w:t>
      </w:r>
    </w:p>
    <w:p w14:paraId="249A9542" w14:textId="427483B6" w:rsidR="007E427C" w:rsidRPr="001115C5" w:rsidRDefault="007E427C" w:rsidP="006124C9">
      <w:pPr>
        <w:pStyle w:val="ListParagraph"/>
        <w:numPr>
          <w:ilvl w:val="0"/>
          <w:numId w:val="3"/>
        </w:numPr>
        <w:spacing w:after="240"/>
        <w:ind w:left="792"/>
        <w:contextualSpacing w:val="0"/>
        <w:rPr>
          <w:rFonts w:ascii="Helvetica Neue" w:hAnsi="Helvetica Neue" w:cs="Arial"/>
        </w:rPr>
      </w:pPr>
      <w:r w:rsidRPr="001115C5">
        <w:rPr>
          <w:rFonts w:ascii="Helvetica Neue" w:hAnsi="Helvetica Neue" w:cs="Arial"/>
        </w:rPr>
        <w:t>Driving while high is a DUI. Marijuana use increases your risk of motor vehicle crashes.</w:t>
      </w:r>
    </w:p>
    <w:p w14:paraId="5A4FEFEF" w14:textId="0AEDB5C3" w:rsidR="007E427C" w:rsidRPr="001115C5" w:rsidRDefault="007E427C" w:rsidP="006124C9">
      <w:pPr>
        <w:pStyle w:val="ListParagraph"/>
        <w:numPr>
          <w:ilvl w:val="0"/>
          <w:numId w:val="3"/>
        </w:numPr>
        <w:ind w:left="792"/>
        <w:contextualSpacing w:val="0"/>
        <w:rPr>
          <w:rFonts w:ascii="Helvetica Neue" w:hAnsi="Helvetica Neue" w:cs="Arial"/>
        </w:rPr>
      </w:pPr>
      <w:r w:rsidRPr="001115C5">
        <w:rPr>
          <w:rFonts w:ascii="Helvetica Neue" w:hAnsi="Helvetica Neue" w:cs="Arial"/>
        </w:rPr>
        <w:lastRenderedPageBreak/>
        <w:t>Not for Kids or Teens! Starting marijuana use young or using frequently may lead to problem use and, according to the Surgeon General, may harm the developing teen brain.</w:t>
      </w:r>
    </w:p>
    <w:p w14:paraId="73B883BE" w14:textId="5D02440B" w:rsidR="007E427C" w:rsidRPr="001115C5" w:rsidRDefault="007E427C" w:rsidP="00185EF3">
      <w:pPr>
        <w:spacing w:before="200" w:after="240"/>
        <w:ind w:left="360"/>
        <w:rPr>
          <w:rFonts w:ascii="Helvetica Neue" w:hAnsi="Helvetica Neue" w:cs="Arial"/>
        </w:rPr>
      </w:pPr>
      <w:r w:rsidRPr="001115C5">
        <w:rPr>
          <w:rFonts w:ascii="Helvetica Neue" w:hAnsi="Helvetica Neue" w:cs="Arial"/>
        </w:rPr>
        <w:t xml:space="preserve">THIS MESSAGE IS PROVIDED AS A PUBLIC SERVICE BY </w:t>
      </w:r>
      <w:r w:rsidR="008B35D9" w:rsidRPr="001115C5">
        <w:rPr>
          <w:rFonts w:ascii="Helvetica Neue" w:hAnsi="Helvetica Neue" w:cs="Arial"/>
          <w:color w:val="FF0000"/>
        </w:rPr>
        <w:t>[City/County]</w:t>
      </w:r>
      <w:r w:rsidRPr="001115C5">
        <w:rPr>
          <w:rFonts w:ascii="Helvetica Neue" w:hAnsi="Helvetica Neue" w:cs="Arial"/>
        </w:rPr>
        <w:t>.</w:t>
      </w:r>
    </w:p>
    <w:p w14:paraId="470D920B" w14:textId="77777777" w:rsidR="00185EF3" w:rsidRPr="001115C5" w:rsidRDefault="007E427C" w:rsidP="00064063">
      <w:pPr>
        <w:pStyle w:val="ListParagraph"/>
        <w:numPr>
          <w:ilvl w:val="0"/>
          <w:numId w:val="16"/>
        </w:numPr>
        <w:spacing w:after="240"/>
        <w:ind w:left="360"/>
        <w:contextualSpacing w:val="0"/>
        <w:rPr>
          <w:rFonts w:ascii="Helvetica Neue" w:hAnsi="Helvetica Neue" w:cs="Arial"/>
        </w:rPr>
      </w:pPr>
      <w:r w:rsidRPr="001115C5">
        <w:rPr>
          <w:rFonts w:ascii="Helvetica Neue" w:hAnsi="Helvetica Neue" w:cs="Arial"/>
        </w:rPr>
        <w:t>A storefront Cannabis Retailer must display each of the following three warning signs, which are:</w:t>
      </w:r>
    </w:p>
    <w:p w14:paraId="7F6B795A" w14:textId="77777777" w:rsidR="00185EF3" w:rsidRPr="001115C5" w:rsidRDefault="007E427C" w:rsidP="00064063">
      <w:pPr>
        <w:pStyle w:val="ListParagraph"/>
        <w:numPr>
          <w:ilvl w:val="1"/>
          <w:numId w:val="16"/>
        </w:numPr>
        <w:spacing w:after="240"/>
        <w:ind w:left="792"/>
        <w:contextualSpacing w:val="0"/>
        <w:rPr>
          <w:rFonts w:ascii="Helvetica Neue" w:hAnsi="Helvetica Neue" w:cs="Arial"/>
        </w:rPr>
      </w:pPr>
      <w:r w:rsidRPr="001115C5">
        <w:rPr>
          <w:rFonts w:ascii="Helvetica Neue" w:hAnsi="Helvetica Neue" w:cs="Arial"/>
        </w:rPr>
        <w:t xml:space="preserve">at least 2 feet wide by 1 foot </w:t>
      </w:r>
      <w:proofErr w:type="gramStart"/>
      <w:r w:rsidRPr="001115C5">
        <w:rPr>
          <w:rFonts w:ascii="Helvetica Neue" w:hAnsi="Helvetica Neue" w:cs="Arial"/>
        </w:rPr>
        <w:t>tall;</w:t>
      </w:r>
      <w:proofErr w:type="gramEnd"/>
    </w:p>
    <w:p w14:paraId="7D337CD2" w14:textId="77777777" w:rsidR="00185EF3" w:rsidRPr="001115C5" w:rsidRDefault="007E427C" w:rsidP="00064063">
      <w:pPr>
        <w:pStyle w:val="ListParagraph"/>
        <w:numPr>
          <w:ilvl w:val="1"/>
          <w:numId w:val="16"/>
        </w:numPr>
        <w:spacing w:after="240"/>
        <w:ind w:left="792"/>
        <w:contextualSpacing w:val="0"/>
        <w:rPr>
          <w:rFonts w:ascii="Helvetica Neue" w:hAnsi="Helvetica Neue" w:cs="Arial"/>
        </w:rPr>
      </w:pPr>
      <w:r w:rsidRPr="001115C5">
        <w:rPr>
          <w:rFonts w:ascii="Helvetica Neue" w:hAnsi="Helvetica Neue" w:cs="Arial"/>
        </w:rPr>
        <w:t>posted with mid-point 5 feet above the floor; and</w:t>
      </w:r>
    </w:p>
    <w:p w14:paraId="1FF2A1EC" w14:textId="5AB8C391" w:rsidR="007E427C" w:rsidRPr="001115C5" w:rsidRDefault="007E427C" w:rsidP="00064063">
      <w:pPr>
        <w:pStyle w:val="ListParagraph"/>
        <w:numPr>
          <w:ilvl w:val="1"/>
          <w:numId w:val="16"/>
        </w:numPr>
        <w:spacing w:after="240"/>
        <w:ind w:left="792"/>
        <w:contextualSpacing w:val="0"/>
        <w:rPr>
          <w:rFonts w:ascii="Helvetica Neue" w:hAnsi="Helvetica Neue" w:cs="Arial"/>
        </w:rPr>
      </w:pPr>
      <w:r w:rsidRPr="001115C5">
        <w:rPr>
          <w:rFonts w:ascii="Helvetica Neue" w:hAnsi="Helvetica Neue" w:cs="Arial"/>
        </w:rPr>
        <w:t>posted prominently and conspicuously in a location where it will be seen by all customers, such as behind a dispensing counter, check-in or check-out counter, stating in English and Spanish:</w:t>
      </w:r>
    </w:p>
    <w:p w14:paraId="74E42E79" w14:textId="2A2DD6A7" w:rsidR="007E427C" w:rsidRPr="001115C5" w:rsidRDefault="007E427C" w:rsidP="00185EF3">
      <w:pPr>
        <w:spacing w:before="240" w:after="240"/>
        <w:ind w:left="432"/>
        <w:rPr>
          <w:rFonts w:ascii="Helvetica Neue" w:hAnsi="Helvetica Neue" w:cs="Arial"/>
        </w:rPr>
      </w:pPr>
      <w:r w:rsidRPr="001115C5">
        <w:rPr>
          <w:rFonts w:ascii="Helvetica Neue" w:hAnsi="Helvetica Neue" w:cs="Arial"/>
          <w:b/>
          <w:bCs/>
        </w:rPr>
        <w:t>WARNING</w:t>
      </w:r>
      <w:r w:rsidRPr="001115C5">
        <w:rPr>
          <w:rFonts w:ascii="Helvetica Neue" w:hAnsi="Helvetica Neue" w:cs="Arial"/>
        </w:rPr>
        <w:t>:</w:t>
      </w:r>
    </w:p>
    <w:p w14:paraId="70D7D90E" w14:textId="52A8A0CE" w:rsidR="007E427C" w:rsidRPr="001115C5" w:rsidRDefault="007E427C" w:rsidP="00185EF3">
      <w:pPr>
        <w:spacing w:before="240" w:after="120"/>
        <w:ind w:left="432"/>
        <w:rPr>
          <w:rFonts w:ascii="Helvetica Neue" w:hAnsi="Helvetica Neue" w:cs="Arial"/>
        </w:rPr>
      </w:pPr>
      <w:r w:rsidRPr="001115C5">
        <w:rPr>
          <w:rFonts w:ascii="Helvetica Neue" w:hAnsi="Helvetica Neue" w:cs="Arial"/>
        </w:rPr>
        <w:t>ARE YOU AN IMMIGRANT? Using or possessing marijuana or working in the marijuana industry is legally risky for any noncitizen, even in California. This includes lawful permanent residents, undocumented persons, student with visas, and others. Marijuana is illegal under federal law, and federal law controls immigration. If you need to take medical marijuana, see an immigration attorney for advice.</w:t>
      </w:r>
    </w:p>
    <w:p w14:paraId="08CA60B4" w14:textId="3C5F813F" w:rsidR="007E427C" w:rsidRPr="001115C5" w:rsidRDefault="007E427C" w:rsidP="00185EF3">
      <w:pPr>
        <w:spacing w:after="240"/>
        <w:ind w:left="432"/>
        <w:rPr>
          <w:rFonts w:ascii="Helvetica Neue" w:hAnsi="Helvetica Neue" w:cs="Arial"/>
        </w:rPr>
      </w:pPr>
      <w:r w:rsidRPr="001115C5">
        <w:rPr>
          <w:rFonts w:ascii="Helvetica Neue" w:hAnsi="Helvetica Neue" w:cs="Arial"/>
        </w:rPr>
        <w:t xml:space="preserve">THIS MESSAGE IS PROVIDED AS A PUBLIC SERVICE BY </w:t>
      </w:r>
      <w:r w:rsidR="008B35D9" w:rsidRPr="001115C5">
        <w:rPr>
          <w:rFonts w:ascii="Helvetica Neue" w:hAnsi="Helvetica Neue" w:cs="Arial"/>
          <w:color w:val="FF0000"/>
        </w:rPr>
        <w:t>[City/County]</w:t>
      </w:r>
    </w:p>
    <w:p w14:paraId="56EC8898" w14:textId="02D5A3E9" w:rsidR="007E427C" w:rsidRPr="001115C5" w:rsidRDefault="007E427C" w:rsidP="00185EF3">
      <w:pPr>
        <w:spacing w:before="240" w:after="120"/>
        <w:ind w:left="432"/>
        <w:rPr>
          <w:rFonts w:ascii="Helvetica Neue" w:hAnsi="Helvetica Neue" w:cs="Arial"/>
        </w:rPr>
      </w:pPr>
      <w:r w:rsidRPr="001115C5">
        <w:rPr>
          <w:rFonts w:ascii="Helvetica Neue" w:hAnsi="Helvetica Neue" w:cs="Arial"/>
        </w:rPr>
        <w:t>ARE YOU ON PROBATION OR PAROLE? If you are prohibited from using drugs as a condition of your probation or parole, possession or use of marijuana could violate your probation or parole.</w:t>
      </w:r>
    </w:p>
    <w:p w14:paraId="1B83796A" w14:textId="112C73ED" w:rsidR="007E427C" w:rsidRPr="001115C5" w:rsidRDefault="007E427C" w:rsidP="00185EF3">
      <w:pPr>
        <w:spacing w:before="120" w:after="240"/>
        <w:ind w:left="432"/>
        <w:rPr>
          <w:rFonts w:ascii="Helvetica Neue" w:hAnsi="Helvetica Neue" w:cs="Arial"/>
        </w:rPr>
      </w:pPr>
      <w:r w:rsidRPr="001115C5">
        <w:rPr>
          <w:rFonts w:ascii="Helvetica Neue" w:hAnsi="Helvetica Neue" w:cs="Arial"/>
        </w:rPr>
        <w:t xml:space="preserve">THIS MESSAGE IS PROVIDED AS A PUBLIC SERVICE BY </w:t>
      </w:r>
      <w:r w:rsidR="008B35D9" w:rsidRPr="001115C5">
        <w:rPr>
          <w:rFonts w:ascii="Helvetica Neue" w:hAnsi="Helvetica Neue" w:cs="Arial"/>
          <w:color w:val="FF0000"/>
        </w:rPr>
        <w:t>[City/County]</w:t>
      </w:r>
    </w:p>
    <w:p w14:paraId="1DD59061" w14:textId="079CC3A9" w:rsidR="007E427C" w:rsidRPr="001115C5" w:rsidRDefault="007E427C" w:rsidP="00185EF3">
      <w:pPr>
        <w:spacing w:before="240" w:after="120"/>
        <w:ind w:left="432"/>
        <w:rPr>
          <w:rFonts w:ascii="Helvetica Neue" w:hAnsi="Helvetica Neue" w:cs="Arial"/>
        </w:rPr>
      </w:pPr>
      <w:r w:rsidRPr="001115C5">
        <w:rPr>
          <w:rFonts w:ascii="Helvetica Neue" w:hAnsi="Helvetica Neue" w:cs="Arial"/>
        </w:rPr>
        <w:t>ARE YOU 18-20 YEARS OLD? If you are caught possessing marijuana without medical authorization, you could face legal consequences.</w:t>
      </w:r>
    </w:p>
    <w:p w14:paraId="0BEC80DD" w14:textId="76DCE1B6" w:rsidR="007E427C" w:rsidRPr="001115C5" w:rsidRDefault="007E427C" w:rsidP="00185EF3">
      <w:pPr>
        <w:spacing w:before="120" w:after="240"/>
        <w:ind w:left="432"/>
        <w:rPr>
          <w:rFonts w:ascii="Helvetica Neue" w:hAnsi="Helvetica Neue" w:cs="Arial"/>
        </w:rPr>
      </w:pPr>
      <w:r w:rsidRPr="001115C5">
        <w:rPr>
          <w:rFonts w:ascii="Helvetica Neue" w:hAnsi="Helvetica Neue" w:cs="Arial"/>
        </w:rPr>
        <w:t xml:space="preserve">THIS MESSAGE IS PROVIDED AS A PUBLIC SERVICE BY </w:t>
      </w:r>
      <w:r w:rsidR="008B35D9" w:rsidRPr="001115C5">
        <w:rPr>
          <w:rFonts w:ascii="Helvetica Neue" w:hAnsi="Helvetica Neue" w:cs="Arial"/>
          <w:color w:val="FF0000"/>
        </w:rPr>
        <w:t>[City/County]</w:t>
      </w:r>
    </w:p>
    <w:p w14:paraId="4152BD00" w14:textId="0F819322" w:rsidR="007E427C" w:rsidRPr="001115C5" w:rsidRDefault="007E427C" w:rsidP="00064063">
      <w:pPr>
        <w:pStyle w:val="ListParagraph"/>
        <w:numPr>
          <w:ilvl w:val="0"/>
          <w:numId w:val="16"/>
        </w:numPr>
        <w:spacing w:before="360" w:after="240"/>
        <w:ind w:left="360"/>
        <w:rPr>
          <w:rFonts w:ascii="Helvetica Neue" w:hAnsi="Helvetica Neue" w:cs="Arial"/>
        </w:rPr>
      </w:pPr>
      <w:r w:rsidRPr="001115C5">
        <w:rPr>
          <w:rFonts w:ascii="Helvetica Neue" w:hAnsi="Helvetica Neue" w:cs="Arial"/>
        </w:rPr>
        <w:t>Cannabis Retailer permit holders must provide to every consumer purchasing Cannabis or Cannabis Products from a storefront or Delivery facility a brochure or flyer of at least 8 ½ by 11 inches unfolded that includes the following information:</w:t>
      </w:r>
    </w:p>
    <w:p w14:paraId="1E298191" w14:textId="25284776" w:rsidR="007E427C" w:rsidRPr="001115C5" w:rsidRDefault="007E427C" w:rsidP="006124C9">
      <w:pPr>
        <w:spacing w:after="240"/>
        <w:ind w:left="360"/>
        <w:rPr>
          <w:rFonts w:ascii="Helvetica Neue" w:hAnsi="Helvetica Neue" w:cs="Arial"/>
        </w:rPr>
      </w:pPr>
      <w:r w:rsidRPr="001115C5">
        <w:rPr>
          <w:rFonts w:ascii="Helvetica Neue" w:hAnsi="Helvetica Neue" w:cs="Arial"/>
          <w:b/>
          <w:bCs/>
        </w:rPr>
        <w:t>WARNING</w:t>
      </w:r>
      <w:r w:rsidRPr="001115C5">
        <w:rPr>
          <w:rFonts w:ascii="Helvetica Neue" w:hAnsi="Helvetica Neue" w:cs="Arial"/>
        </w:rPr>
        <w:t>:</w:t>
      </w:r>
    </w:p>
    <w:p w14:paraId="395C65FA" w14:textId="154A47CC" w:rsidR="007E427C" w:rsidRPr="001115C5" w:rsidRDefault="007E427C" w:rsidP="006124C9">
      <w:pPr>
        <w:pStyle w:val="ListParagraph"/>
        <w:numPr>
          <w:ilvl w:val="0"/>
          <w:numId w:val="3"/>
        </w:numPr>
        <w:spacing w:after="240"/>
        <w:ind w:left="792"/>
        <w:contextualSpacing w:val="0"/>
        <w:rPr>
          <w:rFonts w:ascii="Helvetica Neue" w:hAnsi="Helvetica Neue" w:cs="Arial"/>
        </w:rPr>
      </w:pPr>
      <w:r w:rsidRPr="001115C5">
        <w:rPr>
          <w:rFonts w:ascii="Helvetica Neue" w:hAnsi="Helvetica Neue" w:cs="Arial"/>
        </w:rPr>
        <w:t>Are you pregnant or breastfeeding? According to the U.S. Centers for Disease Control (CDC), marijuana use during pregnancy can be harmful to your baby’s health, including causing low birth weight and developmental problems.</w:t>
      </w:r>
    </w:p>
    <w:p w14:paraId="28C0FA8B" w14:textId="5DB10CFD" w:rsidR="007E427C" w:rsidRPr="001115C5" w:rsidRDefault="007E427C" w:rsidP="006124C9">
      <w:pPr>
        <w:pStyle w:val="ListParagraph"/>
        <w:numPr>
          <w:ilvl w:val="0"/>
          <w:numId w:val="3"/>
        </w:numPr>
        <w:spacing w:after="240"/>
        <w:ind w:left="792"/>
        <w:contextualSpacing w:val="0"/>
        <w:rPr>
          <w:rFonts w:ascii="Helvetica Neue" w:hAnsi="Helvetica Neue" w:cs="Arial"/>
        </w:rPr>
      </w:pPr>
      <w:r w:rsidRPr="001115C5">
        <w:rPr>
          <w:rFonts w:ascii="Helvetica Neue" w:hAnsi="Helvetica Neue" w:cs="Arial"/>
        </w:rPr>
        <w:lastRenderedPageBreak/>
        <w:t>Marijuana use may be associated with greater risk of developing schizophrenia or other psychoses. Risk is highest for frequent users.</w:t>
      </w:r>
    </w:p>
    <w:p w14:paraId="0E586E5B" w14:textId="6C4C225F" w:rsidR="007E427C" w:rsidRPr="001115C5" w:rsidRDefault="007E427C" w:rsidP="006124C9">
      <w:pPr>
        <w:pStyle w:val="ListParagraph"/>
        <w:numPr>
          <w:ilvl w:val="0"/>
          <w:numId w:val="3"/>
        </w:numPr>
        <w:spacing w:after="240"/>
        <w:ind w:left="792"/>
        <w:contextualSpacing w:val="0"/>
        <w:rPr>
          <w:rFonts w:ascii="Helvetica Neue" w:hAnsi="Helvetica Neue" w:cs="Arial"/>
        </w:rPr>
      </w:pPr>
      <w:r w:rsidRPr="001115C5">
        <w:rPr>
          <w:rFonts w:ascii="Helvetica Neue" w:hAnsi="Helvetica Neue" w:cs="Arial"/>
        </w:rPr>
        <w:t>Smoking marijuana long-term may make breathing problems worse and vaping has been associated with serious lung disease.</w:t>
      </w:r>
    </w:p>
    <w:p w14:paraId="718E53F3" w14:textId="15B00B63" w:rsidR="007E427C" w:rsidRPr="001115C5" w:rsidRDefault="007E427C" w:rsidP="006124C9">
      <w:pPr>
        <w:pStyle w:val="ListParagraph"/>
        <w:numPr>
          <w:ilvl w:val="0"/>
          <w:numId w:val="3"/>
        </w:numPr>
        <w:spacing w:after="240"/>
        <w:ind w:left="792"/>
        <w:contextualSpacing w:val="0"/>
        <w:rPr>
          <w:rFonts w:ascii="Helvetica Neue" w:hAnsi="Helvetica Neue" w:cs="Arial"/>
        </w:rPr>
      </w:pPr>
      <w:r w:rsidRPr="001115C5">
        <w:rPr>
          <w:rFonts w:ascii="Helvetica Neue" w:hAnsi="Helvetica Neue" w:cs="Arial"/>
        </w:rPr>
        <w:t>Driving while high is a DUI. Marijuana use increases your risk of motor vehicle crashes.</w:t>
      </w:r>
    </w:p>
    <w:p w14:paraId="7981BCB0" w14:textId="1DB18346" w:rsidR="007E427C" w:rsidRPr="001115C5" w:rsidRDefault="007E427C" w:rsidP="006124C9">
      <w:pPr>
        <w:pStyle w:val="ListParagraph"/>
        <w:numPr>
          <w:ilvl w:val="0"/>
          <w:numId w:val="3"/>
        </w:numPr>
        <w:spacing w:after="240"/>
        <w:ind w:left="792"/>
        <w:contextualSpacing w:val="0"/>
        <w:rPr>
          <w:rFonts w:ascii="Helvetica Neue" w:hAnsi="Helvetica Neue" w:cs="Arial"/>
        </w:rPr>
      </w:pPr>
      <w:r w:rsidRPr="001115C5">
        <w:rPr>
          <w:rFonts w:ascii="Helvetica Neue" w:hAnsi="Helvetica Neue" w:cs="Arial"/>
        </w:rPr>
        <w:t>Not for Kids or Teens! Starting marijuana use young or using frequently may lead to problem use and, according to the Surgeon General, may harm the developing teen brain.</w:t>
      </w:r>
    </w:p>
    <w:p w14:paraId="4A8EEC18" w14:textId="2E3ADA7B" w:rsidR="00BC0EC1" w:rsidRPr="001115C5" w:rsidRDefault="007E427C" w:rsidP="006124C9">
      <w:pPr>
        <w:spacing w:after="240"/>
        <w:ind w:left="360"/>
        <w:rPr>
          <w:rFonts w:ascii="Helvetica Neue" w:hAnsi="Helvetica Neue" w:cs="Arial"/>
        </w:rPr>
      </w:pPr>
      <w:r w:rsidRPr="001115C5">
        <w:rPr>
          <w:rFonts w:ascii="Helvetica Neue" w:hAnsi="Helvetica Neue" w:cs="Arial"/>
        </w:rPr>
        <w:t xml:space="preserve">THIS IS A </w:t>
      </w:r>
      <w:r w:rsidR="00F14A92">
        <w:rPr>
          <w:rFonts w:ascii="Helvetica Neue" w:hAnsi="Helvetica Neue" w:cs="Arial"/>
        </w:rPr>
        <w:t>GOVERNMENT HEALTH WARNING.</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7E427C" w:rsidRPr="001115C5" w14:paraId="406E15B4" w14:textId="77777777" w:rsidTr="00895773">
        <w:tc>
          <w:tcPr>
            <w:tcW w:w="10188" w:type="dxa"/>
            <w:shd w:val="clear" w:color="auto" w:fill="D9D9D9" w:themeFill="background1" w:themeFillShade="D9"/>
          </w:tcPr>
          <w:p w14:paraId="7705F385" w14:textId="1CD8E007" w:rsidR="007E427C" w:rsidRPr="001115C5" w:rsidRDefault="007E427C" w:rsidP="007E427C">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xml:space="preserve">: In relation to the above, State law requires that all Cannabis and Cannabis Products bear the warnings in the paragraphs below, in accordance with regulations issued by the State Department of Public Health (under Section 26120(c) of the Business &amp; Professions Code). The warning language was specified by Proposition 64. However, these warnings are weak and state regulations require only a </w:t>
            </w:r>
            <w:r w:rsidRPr="001115C5">
              <w:rPr>
                <w:rFonts w:ascii="Helvetica Neue" w:eastAsia="Helvetica Neue" w:hAnsi="Helvetica Neue" w:cs="Arial"/>
                <w:sz w:val="12"/>
                <w:szCs w:val="12"/>
              </w:rPr>
              <w:t>6-point font size</w:t>
            </w:r>
            <w:r w:rsidRPr="001115C5">
              <w:rPr>
                <w:rFonts w:ascii="Helvetica Neue" w:eastAsia="Helvetica Neue" w:hAnsi="Helvetica Neue" w:cs="Arial"/>
              </w:rPr>
              <w:t>, which is nearly illegible as you can see here. For this reason, we offer this option to require stronger and more visible warnings posted in the stores and provided to the consumers.</w:t>
            </w:r>
            <w:r w:rsidR="00F14A92">
              <w:rPr>
                <w:rFonts w:ascii="Helvetica Neue" w:eastAsia="Helvetica Neue" w:hAnsi="Helvetica Neue" w:cs="Arial"/>
              </w:rPr>
              <w:t xml:space="preserve"> Several studies have demonstrated the superiority of prominent, pictorial warnings with rotating messages.</w:t>
            </w:r>
            <w:r w:rsidR="00731403">
              <w:rPr>
                <w:rStyle w:val="FootnoteReference"/>
                <w:rFonts w:ascii="Helvetica Neue" w:eastAsia="Helvetica Neue" w:hAnsi="Helvetica Neue" w:cs="Arial"/>
              </w:rPr>
              <w:footnoteReference w:id="103"/>
            </w:r>
            <w:r w:rsidR="00F14A92">
              <w:rPr>
                <w:rFonts w:ascii="Helvetica Neue" w:eastAsia="Helvetica Neue" w:hAnsi="Helvetica Neue" w:cs="Arial"/>
              </w:rPr>
              <w:t xml:space="preserve"> </w:t>
            </w:r>
            <w:r w:rsidR="008D6E55">
              <w:rPr>
                <w:rStyle w:val="FootnoteReference"/>
                <w:rFonts w:ascii="Helvetica Neue" w:eastAsia="Helvetica Neue" w:hAnsi="Helvetica Neue" w:cs="Arial"/>
              </w:rPr>
              <w:footnoteReference w:id="104"/>
            </w:r>
            <w:r w:rsidR="008D6E55">
              <w:rPr>
                <w:rFonts w:ascii="Helvetica Neue" w:eastAsia="Helvetica Neue" w:hAnsi="Helvetica Neue" w:cs="Arial"/>
              </w:rPr>
              <w:t xml:space="preserve"> </w:t>
            </w:r>
            <w:r w:rsidR="001B089D">
              <w:rPr>
                <w:rStyle w:val="FootnoteReference"/>
                <w:rFonts w:ascii="Helvetica Neue" w:eastAsia="Helvetica Neue" w:hAnsi="Helvetica Neue" w:cs="Arial"/>
              </w:rPr>
              <w:footnoteReference w:id="105"/>
            </w:r>
          </w:p>
          <w:p w14:paraId="7A7E4331" w14:textId="77777777" w:rsidR="007E427C" w:rsidRPr="001115C5" w:rsidRDefault="007E427C" w:rsidP="008922ED">
            <w:pPr>
              <w:spacing w:before="120" w:after="60" w:line="360" w:lineRule="auto"/>
              <w:rPr>
                <w:rFonts w:ascii="Helvetica Neue" w:eastAsia="Helvetica Neue" w:hAnsi="Helvetica Neue" w:cs="Arial"/>
              </w:rPr>
            </w:pPr>
            <w:r w:rsidRPr="001115C5">
              <w:rPr>
                <w:rFonts w:ascii="Helvetica Neue" w:eastAsia="Helvetica Neue" w:hAnsi="Helvetica Neue" w:cs="Arial"/>
              </w:rPr>
              <w:t>Current State required health warnings, which are only required on Cannabis packaging, state:</w:t>
            </w:r>
          </w:p>
          <w:p w14:paraId="7CEE72F6" w14:textId="7833E8FE" w:rsidR="007E427C" w:rsidRPr="001115C5" w:rsidRDefault="007E427C" w:rsidP="008922ED">
            <w:pPr>
              <w:spacing w:before="60" w:after="120" w:line="360" w:lineRule="auto"/>
              <w:rPr>
                <w:rFonts w:ascii="Helvetica Neue" w:eastAsia="Helvetica Neue" w:hAnsi="Helvetica Neue" w:cs="Arial"/>
              </w:rPr>
            </w:pPr>
            <w:r w:rsidRPr="001115C5">
              <w:rPr>
                <w:rFonts w:ascii="Helvetica Neue" w:eastAsia="Helvetica Neue" w:hAnsi="Helvetica Neue" w:cs="Arial"/>
              </w:rPr>
              <w:t xml:space="preserve">“GOVERNMENT WARNING: THIS PRODUCT CONTAINS CANNABIS, A SCHEDULE I CONTROLLED SUBSTANCE. KEEP OUT OF REACH OF CHILDREN AND ANIMALS. CANNABIS MAY ONLY BE POSSESSED OR CONSUMED BY PERSONS 21 YEARS OF AGE OR OLDER UNLESS THE PERSON IS A QUALIFIED PATIENT. THE INTOXICATING EFFECTS OF CANNABIS MAY BE DELAYED UP TO TWO HOURS. CANNABIS USE WHILE PREGNANT OR BREASTFEEDING MAY BE HARMFUL. CONSUMPTION OF CANNABIS PRODUCTS </w:t>
            </w:r>
            <w:r w:rsidRPr="001115C5">
              <w:rPr>
                <w:rFonts w:ascii="Helvetica Neue" w:eastAsia="Helvetica Neue" w:hAnsi="Helvetica Neue" w:cs="Arial"/>
              </w:rPr>
              <w:lastRenderedPageBreak/>
              <w:t>IMPAIRS YOUR ABILITY TO DRIVE AND OPERATE MACHINERY. PLEASE USE EXTREME CAUTION.”</w:t>
            </w:r>
          </w:p>
          <w:p w14:paraId="26B9C959" w14:textId="79DEC326" w:rsidR="007E427C" w:rsidRPr="001115C5" w:rsidRDefault="007E427C" w:rsidP="008922ED">
            <w:pPr>
              <w:spacing w:before="120" w:after="120" w:line="360" w:lineRule="auto"/>
              <w:rPr>
                <w:rFonts w:ascii="Helvetica Neue" w:eastAsia="Helvetica Neue" w:hAnsi="Helvetica Neue" w:cs="Arial"/>
              </w:rPr>
            </w:pPr>
            <w:r w:rsidRPr="001115C5">
              <w:rPr>
                <w:rFonts w:ascii="Helvetica Neue" w:eastAsia="Helvetica Neue" w:hAnsi="Helvetica Neue" w:cs="Arial"/>
              </w:rPr>
              <w:t>The State-required pregnancy warning noting that use while pregnant “may be harmful” is inadequate and weaker than (1) warnings required in other states, which clearly recommend against marijuana use during pregnancy, and (2) the State’s own “Let’s talk cannabis” campaign. Changes in Label warnings would ideally occur at the state level. However local jurisdictions could require products sold in their jurisdictions to display supplemental warnings (in addition to, not in place of, state-required language, and not obscuring state mandated text). But this may be difficult in practice, especially for small jurisdictions. Local jurisdictions can better inform consumers by requiring clear health warnings in stores and on advertising and providing information on health effects and safer use to consumers.</w:t>
            </w:r>
            <w:r w:rsidR="00F14A92">
              <w:rPr>
                <w:rFonts w:ascii="Helvetica Neue" w:eastAsia="Helvetica Neue" w:hAnsi="Helvetica Neue" w:cs="Arial"/>
              </w:rPr>
              <w:t xml:space="preserve"> An example of such mandated information on safer use is available </w:t>
            </w:r>
            <w:hyperlink r:id="rId23" w:history="1">
              <w:r w:rsidR="00F14A92" w:rsidRPr="00F14A92">
                <w:rPr>
                  <w:rStyle w:val="Hyperlink"/>
                  <w:rFonts w:ascii="Helvetica Neue" w:eastAsia="Helvetica Neue" w:hAnsi="Helvetica Neue" w:cs="Arial"/>
                </w:rPr>
                <w:t>here.</w:t>
              </w:r>
            </w:hyperlink>
            <w:r w:rsidR="00F14A92">
              <w:rPr>
                <w:rFonts w:ascii="Helvetica Neue" w:eastAsia="Helvetica Neue" w:hAnsi="Helvetica Neue" w:cs="Arial"/>
              </w:rPr>
              <w:t xml:space="preserve"> </w:t>
            </w:r>
          </w:p>
        </w:tc>
      </w:tr>
    </w:tbl>
    <w:p w14:paraId="6692BF17" w14:textId="330A9862" w:rsidR="007E427C" w:rsidRPr="001115C5" w:rsidRDefault="007E427C" w:rsidP="00064063">
      <w:pPr>
        <w:pStyle w:val="ListParagraph"/>
        <w:numPr>
          <w:ilvl w:val="0"/>
          <w:numId w:val="16"/>
        </w:numPr>
        <w:spacing w:before="480" w:after="240"/>
        <w:ind w:left="360"/>
        <w:rPr>
          <w:rFonts w:ascii="Helvetica Neue" w:hAnsi="Helvetica Neue" w:cs="Arial"/>
        </w:rPr>
      </w:pPr>
      <w:r w:rsidRPr="001115C5">
        <w:rPr>
          <w:rFonts w:ascii="Helvetica Neue" w:hAnsi="Helvetica Neue" w:cs="Arial"/>
        </w:rPr>
        <w:lastRenderedPageBreak/>
        <w:t xml:space="preserve">The </w:t>
      </w:r>
      <w:r w:rsidRPr="001115C5">
        <w:rPr>
          <w:rFonts w:ascii="Helvetica Neue" w:hAnsi="Helvetica Neue" w:cs="Arial"/>
          <w:color w:val="FF0000"/>
        </w:rPr>
        <w:t>Department</w:t>
      </w:r>
      <w:r w:rsidRPr="001115C5">
        <w:rPr>
          <w:rFonts w:ascii="Helvetica Neue" w:hAnsi="Helvetica Neue" w:cs="Arial"/>
        </w:rPr>
        <w:t xml:space="preserve"> shall review and, if necessary, update the text of the required warnings as needed, but no less than once every three years, based on current scientific evidence and legal information.</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CC1871" w:rsidRPr="001115C5" w14:paraId="02240265" w14:textId="77777777" w:rsidTr="00895773">
        <w:tc>
          <w:tcPr>
            <w:tcW w:w="10188" w:type="dxa"/>
            <w:shd w:val="clear" w:color="auto" w:fill="D9D9D9" w:themeFill="background1" w:themeFillShade="D9"/>
          </w:tcPr>
          <w:p w14:paraId="3CF0EF95" w14:textId="4ADDF1E1" w:rsidR="00CC1871" w:rsidRPr="001115C5" w:rsidRDefault="00CC1871" w:rsidP="00895773">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Your agency may wish to provide the signs or a graphic file with compliant design. Although Spanish and English are two of the most common languages spoken in California, this is not necessarily so in all communities. Each city/county may want to include any language which census data shows is used at home in 10% or more of households.</w:t>
            </w:r>
          </w:p>
        </w:tc>
      </w:tr>
    </w:tbl>
    <w:p w14:paraId="05FE6C03" w14:textId="11DAFADE" w:rsidR="00CC1871" w:rsidRPr="001115C5" w:rsidRDefault="00CC1871" w:rsidP="00AD27DF">
      <w:pPr>
        <w:pStyle w:val="Heading3"/>
        <w:spacing w:before="480" w:after="240"/>
        <w:rPr>
          <w:rFonts w:ascii="Helvetica Neue" w:hAnsi="Helvetica Neue"/>
        </w:rPr>
      </w:pPr>
      <w:bookmarkStart w:id="17" w:name="_Toc65578302"/>
      <w:r w:rsidRPr="001115C5">
        <w:rPr>
          <w:rFonts w:ascii="Helvetica Neue" w:hAnsi="Helvetica Neue"/>
        </w:rPr>
        <w:t>Section J. PERMIT RENEWAL AND EXPIRATION</w:t>
      </w:r>
      <w:bookmarkEnd w:id="17"/>
    </w:p>
    <w:p w14:paraId="21044C54" w14:textId="44AC51F6" w:rsidR="00CC1871" w:rsidRPr="001115C5" w:rsidRDefault="00CC1871" w:rsidP="00064063">
      <w:pPr>
        <w:pStyle w:val="ListParagraph"/>
        <w:numPr>
          <w:ilvl w:val="0"/>
          <w:numId w:val="17"/>
        </w:numPr>
        <w:spacing w:after="240"/>
        <w:ind w:left="360"/>
        <w:rPr>
          <w:rFonts w:ascii="Helvetica Neue" w:hAnsi="Helvetica Neue" w:cs="Arial"/>
        </w:rPr>
      </w:pPr>
      <w:r w:rsidRPr="001115C5">
        <w:rPr>
          <w:rFonts w:ascii="Helvetica Neue" w:hAnsi="Helvetica Neue" w:cs="Arial"/>
          <w:b/>
          <w:bCs/>
        </w:rPr>
        <w:t>Renewal of Permit</w:t>
      </w:r>
      <w:r w:rsidRPr="001115C5">
        <w:rPr>
          <w:rFonts w:ascii="Helvetica Neue" w:hAnsi="Helvetica Neue" w:cs="Arial"/>
        </w:rPr>
        <w:t xml:space="preserve">. A conditional use permit for Cannabis Retailing is invalid if the required licensing fee has not been timely paid in full or if its term of the permit has expired. The term of a Cannabis Retailer permit is one year from the issuance date stated on its face. Each permit holder shall apply for the renewal of a conditional use permit and submit the permit fee at least 30 days before the term expires. A renewal application shall include information required by </w:t>
      </w:r>
      <w:r w:rsidR="00CE4BA1">
        <w:rPr>
          <w:rFonts w:ascii="Helvetica Neue" w:hAnsi="Helvetica Neue" w:cs="Arial"/>
        </w:rPr>
        <w:t>SECTION</w:t>
      </w:r>
      <w:r w:rsidRPr="001115C5">
        <w:rPr>
          <w:rFonts w:ascii="Helvetica Neue" w:hAnsi="Helvetica Neue" w:cs="Arial"/>
        </w:rPr>
        <w:t xml:space="preserve"> II</w:t>
      </w:r>
      <w:r w:rsidR="00CE4BA1">
        <w:rPr>
          <w:rFonts w:ascii="Helvetica Neue" w:hAnsi="Helvetica Neue" w:cs="Arial"/>
        </w:rPr>
        <w:t>.</w:t>
      </w:r>
      <w:r w:rsidRPr="001115C5">
        <w:rPr>
          <w:rFonts w:ascii="Helvetica Neue" w:hAnsi="Helvetica Neue" w:cs="Arial"/>
        </w:rPr>
        <w:t xml:space="preserve"> </w:t>
      </w:r>
      <w:r w:rsidR="00CE4BA1">
        <w:rPr>
          <w:rFonts w:ascii="Helvetica Neue" w:hAnsi="Helvetica Neue" w:cs="Arial"/>
        </w:rPr>
        <w:t xml:space="preserve">Section </w:t>
      </w:r>
      <w:r w:rsidRPr="001115C5">
        <w:rPr>
          <w:rFonts w:ascii="Helvetica Neue" w:hAnsi="Helvetica Neue" w:cs="Arial"/>
        </w:rPr>
        <w:t xml:space="preserve">D of this </w:t>
      </w:r>
      <w:r w:rsidR="008B35D9" w:rsidRPr="001115C5">
        <w:rPr>
          <w:rFonts w:ascii="Helvetica Neue" w:hAnsi="Helvetica Neue" w:cs="Arial"/>
          <w:color w:val="FF0000"/>
        </w:rPr>
        <w:lastRenderedPageBreak/>
        <w:t>[Article/Chapter]</w:t>
      </w:r>
      <w:r w:rsidRPr="001115C5">
        <w:rPr>
          <w:rFonts w:ascii="Helvetica Neue" w:hAnsi="Helvetica Neue" w:cs="Arial"/>
        </w:rPr>
        <w:t xml:space="preserve"> and shall also detail any changes in the Cannabis Retailer’s operations and any other information the </w:t>
      </w:r>
      <w:r w:rsidRPr="001115C5">
        <w:rPr>
          <w:rFonts w:ascii="Helvetica Neue" w:hAnsi="Helvetica Neue" w:cs="Arial"/>
          <w:color w:val="FF0000"/>
        </w:rPr>
        <w:t>Department</w:t>
      </w:r>
      <w:r w:rsidRPr="001115C5">
        <w:rPr>
          <w:rFonts w:ascii="Helvetica Neue" w:hAnsi="Helvetica Neue" w:cs="Arial"/>
        </w:rPr>
        <w:t xml:space="preserve"> may reasonably require.</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CC1871" w:rsidRPr="001115C5" w14:paraId="5A2B1C19" w14:textId="77777777" w:rsidTr="00895773">
        <w:tc>
          <w:tcPr>
            <w:tcW w:w="10188" w:type="dxa"/>
            <w:shd w:val="clear" w:color="auto" w:fill="D9D9D9" w:themeFill="background1" w:themeFillShade="D9"/>
          </w:tcPr>
          <w:p w14:paraId="7E7E9BC7" w14:textId="3E52D451" w:rsidR="00CC1871" w:rsidRPr="001115C5" w:rsidRDefault="00CC1871" w:rsidP="00895773">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The term of permits is a matter for local policy. If this ordinance is adopted as an amendment to a CUP ordinance, many administrative details, such as the term of the permit, may be covered by the existing ordinance, although most land use permits have not stated term. A jurisdiction may require additional information to renew a CUP, including a review of any citations issued against the business, and it should also allow opportunity for public input.</w:t>
            </w:r>
          </w:p>
        </w:tc>
      </w:tr>
    </w:tbl>
    <w:p w14:paraId="5C019F14" w14:textId="77777777" w:rsidR="00AD27DF" w:rsidRPr="001115C5" w:rsidRDefault="00CC1871" w:rsidP="00064063">
      <w:pPr>
        <w:pStyle w:val="ListParagraph"/>
        <w:numPr>
          <w:ilvl w:val="0"/>
          <w:numId w:val="17"/>
        </w:numPr>
        <w:spacing w:before="480" w:after="240"/>
        <w:ind w:left="360"/>
        <w:contextualSpacing w:val="0"/>
        <w:rPr>
          <w:rFonts w:ascii="Helvetica Neue" w:hAnsi="Helvetica Neue" w:cs="Arial"/>
        </w:rPr>
      </w:pPr>
      <w:r w:rsidRPr="001115C5">
        <w:rPr>
          <w:rFonts w:ascii="Helvetica Neue" w:hAnsi="Helvetica Neue" w:cs="Arial"/>
          <w:b/>
          <w:bCs/>
        </w:rPr>
        <w:t>Expiration of Permit</w:t>
      </w:r>
      <w:r w:rsidRPr="001115C5">
        <w:rPr>
          <w:rFonts w:ascii="Helvetica Neue" w:hAnsi="Helvetica Neue" w:cs="Arial"/>
        </w:rPr>
        <w:t>. A Cannabis Retailer’s permit that is not timely renewed shall expire at the end of its term. To renew a permit not timely renewed pursuant to subparagraph (1), the proprietor must:</w:t>
      </w:r>
    </w:p>
    <w:p w14:paraId="2EFBA249" w14:textId="77777777" w:rsidR="00AD27DF" w:rsidRPr="001115C5" w:rsidRDefault="00CC1871" w:rsidP="00064063">
      <w:pPr>
        <w:pStyle w:val="ListParagraph"/>
        <w:numPr>
          <w:ilvl w:val="1"/>
          <w:numId w:val="17"/>
        </w:numPr>
        <w:spacing w:after="240"/>
        <w:ind w:left="792"/>
        <w:contextualSpacing w:val="0"/>
        <w:rPr>
          <w:rFonts w:ascii="Helvetica Neue" w:hAnsi="Helvetica Neue" w:cs="Arial"/>
        </w:rPr>
      </w:pPr>
      <w:r w:rsidRPr="001115C5">
        <w:rPr>
          <w:rFonts w:ascii="Helvetica Neue" w:hAnsi="Helvetica Neue" w:cs="Arial"/>
        </w:rPr>
        <w:t>Submit the permit fee and application renewal form; and</w:t>
      </w:r>
    </w:p>
    <w:p w14:paraId="435BECB4" w14:textId="31874F58" w:rsidR="00CC1871" w:rsidRPr="001115C5" w:rsidRDefault="00CC1871" w:rsidP="00064063">
      <w:pPr>
        <w:pStyle w:val="ListParagraph"/>
        <w:numPr>
          <w:ilvl w:val="1"/>
          <w:numId w:val="17"/>
        </w:numPr>
        <w:spacing w:after="240"/>
        <w:ind w:left="792"/>
        <w:contextualSpacing w:val="0"/>
        <w:rPr>
          <w:rFonts w:ascii="Helvetica Neue" w:hAnsi="Helvetica Neue" w:cs="Arial"/>
        </w:rPr>
      </w:pPr>
      <w:r w:rsidRPr="001115C5">
        <w:rPr>
          <w:rFonts w:ascii="Helvetica Neue" w:hAnsi="Helvetica Neue" w:cs="Arial"/>
        </w:rPr>
        <w:t>Submit a signed affidavit affirming that the proprietor has closed its retail l business, has not sold and will not sell any Cannabis or Cannabis Product after the permit expiration date unless and until the permit is renewed.</w:t>
      </w:r>
    </w:p>
    <w:p w14:paraId="33B83998" w14:textId="0160FF82" w:rsidR="00CC1871" w:rsidRPr="001115C5" w:rsidRDefault="00CC1871" w:rsidP="00AD27DF">
      <w:pPr>
        <w:pStyle w:val="Heading3"/>
        <w:spacing w:before="480" w:after="240"/>
        <w:rPr>
          <w:rFonts w:ascii="Helvetica Neue" w:hAnsi="Helvetica Neue"/>
        </w:rPr>
      </w:pPr>
      <w:bookmarkStart w:id="18" w:name="_Toc65578303"/>
      <w:r w:rsidRPr="001115C5">
        <w:rPr>
          <w:rFonts w:ascii="Helvetica Neue" w:hAnsi="Helvetica Neue"/>
        </w:rPr>
        <w:t>Section K. PERMITS NONTRANSFERABLE</w:t>
      </w:r>
      <w:bookmarkEnd w:id="18"/>
    </w:p>
    <w:p w14:paraId="416D1EA4" w14:textId="77777777" w:rsidR="00AD27DF" w:rsidRPr="001115C5" w:rsidRDefault="00CC1871" w:rsidP="00064063">
      <w:pPr>
        <w:pStyle w:val="ListParagraph"/>
        <w:numPr>
          <w:ilvl w:val="0"/>
          <w:numId w:val="18"/>
        </w:numPr>
        <w:spacing w:after="240"/>
        <w:ind w:left="360"/>
        <w:contextualSpacing w:val="0"/>
        <w:rPr>
          <w:rFonts w:ascii="Helvetica Neue" w:hAnsi="Helvetica Neue" w:cs="Arial"/>
        </w:rPr>
      </w:pPr>
      <w:r w:rsidRPr="001115C5">
        <w:rPr>
          <w:rFonts w:ascii="Helvetica Neue" w:hAnsi="Helvetica Neue" w:cs="Arial"/>
        </w:rPr>
        <w:t xml:space="preserve">No permittee may transfer a permit(s) to another Person or Owner or without authorization by the </w:t>
      </w:r>
      <w:r w:rsidR="008B35D9" w:rsidRPr="001115C5">
        <w:rPr>
          <w:rFonts w:ascii="Helvetica Neue" w:hAnsi="Helvetica Neue" w:cs="Arial"/>
          <w:color w:val="FF0000"/>
        </w:rPr>
        <w:t>[City/County]</w:t>
      </w:r>
      <w:r w:rsidRPr="001115C5">
        <w:rPr>
          <w:rFonts w:ascii="Helvetica Neue" w:hAnsi="Helvetica Neue" w:cs="Arial"/>
        </w:rPr>
        <w:t>.</w:t>
      </w:r>
    </w:p>
    <w:p w14:paraId="59DD9A7E" w14:textId="77777777" w:rsidR="00AD27DF" w:rsidRPr="001115C5" w:rsidRDefault="00CC1871" w:rsidP="00064063">
      <w:pPr>
        <w:pStyle w:val="ListParagraph"/>
        <w:numPr>
          <w:ilvl w:val="0"/>
          <w:numId w:val="18"/>
        </w:numPr>
        <w:spacing w:after="240"/>
        <w:ind w:left="360"/>
        <w:contextualSpacing w:val="0"/>
        <w:rPr>
          <w:rFonts w:ascii="Helvetica Neue" w:hAnsi="Helvetica Neue" w:cs="Arial"/>
        </w:rPr>
      </w:pPr>
      <w:r w:rsidRPr="001115C5">
        <w:rPr>
          <w:rFonts w:ascii="Helvetica Neue" w:hAnsi="Helvetica Neue" w:cs="Arial"/>
        </w:rPr>
        <w:t>Operating permits may not be transferred to another location without public hearing. Cannabis Retailers which have been the object of verified public nuisance complaints within the preceding two years may not transfer ownership without a public hearing.</w:t>
      </w:r>
    </w:p>
    <w:p w14:paraId="0D2C7B30" w14:textId="21D12AE1" w:rsidR="00CC1871" w:rsidRPr="001115C5" w:rsidRDefault="00CC1871" w:rsidP="00064063">
      <w:pPr>
        <w:pStyle w:val="ListParagraph"/>
        <w:numPr>
          <w:ilvl w:val="0"/>
          <w:numId w:val="18"/>
        </w:numPr>
        <w:spacing w:after="240"/>
        <w:ind w:left="360"/>
        <w:contextualSpacing w:val="0"/>
        <w:rPr>
          <w:rFonts w:ascii="Helvetica Neue" w:hAnsi="Helvetica Neue" w:cs="Arial"/>
        </w:rPr>
      </w:pPr>
      <w:r w:rsidRPr="001115C5">
        <w:rPr>
          <w:rFonts w:ascii="Helvetica Neue" w:hAnsi="Helvetica Neue" w:cs="Arial"/>
        </w:rPr>
        <w:t xml:space="preserve">The proposed transferee shall apply for transfer of the CUP and Cannabis Retailing operator permit, by submitting an application that complies with </w:t>
      </w:r>
      <w:r w:rsidR="00CE4BA1">
        <w:rPr>
          <w:rFonts w:ascii="Helvetica Neue" w:hAnsi="Helvetica Neue" w:cs="Arial"/>
        </w:rPr>
        <w:t>SECTION</w:t>
      </w:r>
      <w:r w:rsidRPr="001115C5">
        <w:rPr>
          <w:rFonts w:ascii="Helvetica Neue" w:hAnsi="Helvetica Neue" w:cs="Arial"/>
        </w:rPr>
        <w:t xml:space="preserve"> II</w:t>
      </w:r>
      <w:r w:rsidR="00CE4BA1">
        <w:rPr>
          <w:rFonts w:ascii="Helvetica Neue" w:hAnsi="Helvetica Neue" w:cs="Arial"/>
        </w:rPr>
        <w:t>.</w:t>
      </w:r>
      <w:r w:rsidRPr="001115C5">
        <w:rPr>
          <w:rFonts w:ascii="Helvetica Neue" w:hAnsi="Helvetica Neue" w:cs="Arial"/>
        </w:rPr>
        <w:t xml:space="preserve"> </w:t>
      </w:r>
      <w:r w:rsidR="00CE4BA1">
        <w:rPr>
          <w:rFonts w:ascii="Helvetica Neue" w:hAnsi="Helvetica Neue" w:cs="Arial"/>
        </w:rPr>
        <w:t>S</w:t>
      </w:r>
      <w:r w:rsidRPr="001115C5">
        <w:rPr>
          <w:rFonts w:ascii="Helvetica Neue" w:hAnsi="Helvetica Neue" w:cs="Arial"/>
        </w:rPr>
        <w:t>ection D. There is no inherent or assured right to transfer a Cannabis Retailing operating permit or CUP.</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0A2E42" w:rsidRPr="001115C5" w14:paraId="770F1E60" w14:textId="77777777" w:rsidTr="00895773">
        <w:tc>
          <w:tcPr>
            <w:tcW w:w="10188" w:type="dxa"/>
            <w:shd w:val="clear" w:color="auto" w:fill="D9D9D9" w:themeFill="background1" w:themeFillShade="D9"/>
          </w:tcPr>
          <w:p w14:paraId="5D007ED8" w14:textId="1F7E49FE" w:rsidR="000A2E42" w:rsidRPr="001115C5" w:rsidRDefault="000A2E42" w:rsidP="00895773">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xml:space="preserve">: This provision requires authorization for any change in Ownership or location. For example, if an Owner to whom a permit has been issued wishes to sell the business or a stake in it, </w:t>
            </w:r>
            <w:r w:rsidRPr="001115C5">
              <w:rPr>
                <w:rFonts w:ascii="Helvetica Neue" w:eastAsia="Helvetica Neue" w:hAnsi="Helvetica Neue" w:cs="Arial"/>
              </w:rPr>
              <w:lastRenderedPageBreak/>
              <w:t>the prospective owner must be authorized for a permit before acting as a Cannabis Retailer at the permitted location. If the City/County should wish to reduce the number of permit holders, a natural attrition process can be used by not allowing transfer. This provides an opportunity to impede gaming of the Equity Applicant system (i.e., issuance of a permit to an Equity Applicant who then sells to a non-Equity Applicant). This is particularly important if no density cap is adopted. It is important to expressly state that there is no inherent right to transfer these permits so that if there are problems that arise, or there is a need to reduce the number of licensees, that this was the case from the start.</w:t>
            </w:r>
          </w:p>
        </w:tc>
      </w:tr>
    </w:tbl>
    <w:p w14:paraId="05037623" w14:textId="77777777" w:rsidR="0050239B" w:rsidRPr="001115C5" w:rsidRDefault="000A2E42" w:rsidP="00064063">
      <w:pPr>
        <w:pStyle w:val="ListParagraph"/>
        <w:numPr>
          <w:ilvl w:val="0"/>
          <w:numId w:val="18"/>
        </w:numPr>
        <w:spacing w:before="480" w:after="240"/>
        <w:ind w:left="360"/>
        <w:contextualSpacing w:val="0"/>
        <w:rPr>
          <w:rFonts w:ascii="Helvetica Neue" w:hAnsi="Helvetica Neue" w:cs="Arial"/>
        </w:rPr>
      </w:pPr>
      <w:r w:rsidRPr="001115C5">
        <w:rPr>
          <w:rFonts w:ascii="Helvetica Neue" w:hAnsi="Helvetica Neue" w:cs="Arial"/>
          <w:b/>
          <w:bCs/>
        </w:rPr>
        <w:lastRenderedPageBreak/>
        <w:t>Prior Violations</w:t>
      </w:r>
      <w:r w:rsidRPr="001115C5">
        <w:rPr>
          <w:rFonts w:ascii="Helvetica Neue" w:hAnsi="Helvetica Neue" w:cs="Arial"/>
        </w:rPr>
        <w:t xml:space="preserve">. Notwithstanding any other provision of this </w:t>
      </w:r>
      <w:r w:rsidR="008B35D9" w:rsidRPr="001115C5">
        <w:rPr>
          <w:rFonts w:ascii="Helvetica Neue" w:hAnsi="Helvetica Neue" w:cs="Arial"/>
          <w:color w:val="FF0000"/>
        </w:rPr>
        <w:t>[Article/Chapter]</w:t>
      </w:r>
      <w:r w:rsidRPr="001115C5">
        <w:rPr>
          <w:rFonts w:ascii="Helvetica Neue" w:hAnsi="Helvetica Neue" w:cs="Arial"/>
        </w:rPr>
        <w:t>, prior violations at a location shall weigh against renewal of a permit for a location and ineligibility periods shall apply to a location unless:</w:t>
      </w:r>
    </w:p>
    <w:p w14:paraId="776F974E" w14:textId="77777777" w:rsidR="0050239B" w:rsidRPr="001115C5" w:rsidRDefault="000A2E42" w:rsidP="00064063">
      <w:pPr>
        <w:pStyle w:val="ListParagraph"/>
        <w:numPr>
          <w:ilvl w:val="1"/>
          <w:numId w:val="18"/>
        </w:numPr>
        <w:spacing w:after="240"/>
        <w:ind w:left="792"/>
        <w:contextualSpacing w:val="0"/>
        <w:rPr>
          <w:rFonts w:ascii="Helvetica Neue" w:hAnsi="Helvetica Neue" w:cs="Arial"/>
        </w:rPr>
      </w:pPr>
      <w:r w:rsidRPr="001115C5">
        <w:rPr>
          <w:rFonts w:ascii="Helvetica Neue" w:hAnsi="Helvetica Neue" w:cs="Arial"/>
        </w:rPr>
        <w:t xml:space="preserve">The location has been transferred to new Owner(s) in an Arm’s Length </w:t>
      </w:r>
      <w:proofErr w:type="gramStart"/>
      <w:r w:rsidRPr="001115C5">
        <w:rPr>
          <w:rFonts w:ascii="Helvetica Neue" w:hAnsi="Helvetica Neue" w:cs="Arial"/>
        </w:rPr>
        <w:t>Transaction;</w:t>
      </w:r>
      <w:proofErr w:type="gramEnd"/>
    </w:p>
    <w:p w14:paraId="7D8BF5F0" w14:textId="77777777" w:rsidR="0050239B" w:rsidRPr="001115C5" w:rsidRDefault="000A2E42" w:rsidP="00064063">
      <w:pPr>
        <w:pStyle w:val="ListParagraph"/>
        <w:numPr>
          <w:ilvl w:val="1"/>
          <w:numId w:val="18"/>
        </w:numPr>
        <w:spacing w:after="240"/>
        <w:ind w:left="792"/>
        <w:contextualSpacing w:val="0"/>
        <w:rPr>
          <w:rFonts w:ascii="Helvetica Neue" w:hAnsi="Helvetica Neue" w:cs="Arial"/>
        </w:rPr>
      </w:pPr>
      <w:r w:rsidRPr="001115C5">
        <w:rPr>
          <w:rFonts w:ascii="Helvetica Neue" w:hAnsi="Helvetica Neue" w:cs="Arial"/>
        </w:rPr>
        <w:t xml:space="preserve">The new Owner(s) provide the </w:t>
      </w:r>
      <w:r w:rsidRPr="001115C5">
        <w:rPr>
          <w:rFonts w:ascii="Helvetica Neue" w:hAnsi="Helvetica Neue" w:cs="Arial"/>
          <w:color w:val="FF0000"/>
        </w:rPr>
        <w:t>Department</w:t>
      </w:r>
      <w:r w:rsidRPr="001115C5">
        <w:rPr>
          <w:rFonts w:ascii="Helvetica Neue" w:hAnsi="Helvetica Neue" w:cs="Arial"/>
        </w:rPr>
        <w:t xml:space="preserve"> with clear and convincing evidence that the new Owner(s) are acquiring the location in an Arm’s Length Transaction; and</w:t>
      </w:r>
    </w:p>
    <w:p w14:paraId="6C503B51" w14:textId="11798264" w:rsidR="000A2E42" w:rsidRPr="001115C5" w:rsidRDefault="000A2E42" w:rsidP="00064063">
      <w:pPr>
        <w:pStyle w:val="ListParagraph"/>
        <w:numPr>
          <w:ilvl w:val="1"/>
          <w:numId w:val="18"/>
        </w:numPr>
        <w:spacing w:after="240"/>
        <w:ind w:left="792"/>
        <w:contextualSpacing w:val="0"/>
        <w:rPr>
          <w:rFonts w:ascii="Helvetica Neue" w:hAnsi="Helvetica Neue" w:cs="Arial"/>
        </w:rPr>
      </w:pPr>
      <w:r w:rsidRPr="001115C5">
        <w:rPr>
          <w:rFonts w:ascii="Helvetica Neue" w:hAnsi="Helvetica Neue" w:cs="Arial"/>
        </w:rPr>
        <w:t>The new Owner(s) obtains a Cannabis Retailing permit the terms of which discharge the previous violations and ineligibility periods.</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0A2E42" w:rsidRPr="001115C5" w14:paraId="1A24F209" w14:textId="77777777" w:rsidTr="00895773">
        <w:tc>
          <w:tcPr>
            <w:tcW w:w="10188" w:type="dxa"/>
            <w:shd w:val="clear" w:color="auto" w:fill="D9D9D9" w:themeFill="background1" w:themeFillShade="D9"/>
          </w:tcPr>
          <w:p w14:paraId="03EC4523" w14:textId="4D237984" w:rsidR="000A2E42" w:rsidRPr="001115C5" w:rsidRDefault="000A2E42" w:rsidP="00895773">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This provision prevents sham transfers of Ownership from defeating penalties for violations. For example, if a Cannabis Retailer who is found in violation of the licensing law subsequently transfers Ownership to his brother, and if the brother also then violates the ordinance, it would be counted as the second violation, not the first.</w:t>
            </w:r>
          </w:p>
        </w:tc>
      </w:tr>
    </w:tbl>
    <w:p w14:paraId="7D145944" w14:textId="0EEADEBE" w:rsidR="000A2E42" w:rsidRPr="001115C5" w:rsidRDefault="000A2E42" w:rsidP="0070764D">
      <w:pPr>
        <w:pStyle w:val="Heading3"/>
        <w:spacing w:before="480" w:after="240"/>
        <w:rPr>
          <w:rFonts w:ascii="Helvetica Neue" w:hAnsi="Helvetica Neue"/>
        </w:rPr>
      </w:pPr>
      <w:bookmarkStart w:id="19" w:name="_Toc65578304"/>
      <w:r w:rsidRPr="001115C5">
        <w:rPr>
          <w:rFonts w:ascii="Helvetica Neue" w:hAnsi="Helvetica Neue"/>
        </w:rPr>
        <w:t>Section L. FEE FOR PERMIT</w:t>
      </w:r>
      <w:bookmarkEnd w:id="19"/>
    </w:p>
    <w:p w14:paraId="5357E062" w14:textId="7F3BF8F0" w:rsidR="000A2E42" w:rsidRPr="001115C5" w:rsidRDefault="000A2E42" w:rsidP="00064063">
      <w:pPr>
        <w:pStyle w:val="ListParagraph"/>
        <w:numPr>
          <w:ilvl w:val="0"/>
          <w:numId w:val="19"/>
        </w:numPr>
        <w:spacing w:after="240"/>
        <w:ind w:left="360"/>
        <w:rPr>
          <w:rFonts w:ascii="Helvetica Neue" w:hAnsi="Helvetica Neue" w:cs="Arial"/>
        </w:rPr>
      </w:pPr>
      <w:r w:rsidRPr="001115C5">
        <w:rPr>
          <w:rFonts w:ascii="Helvetica Neue" w:hAnsi="Helvetica Neue" w:cs="Arial"/>
        </w:rPr>
        <w:t xml:space="preserve">The fee to issue or to renew a Cannabis Retailer’s permit shall be established from time to time by resolution of the </w:t>
      </w:r>
      <w:r w:rsidRPr="001115C5">
        <w:rPr>
          <w:rFonts w:ascii="Helvetica Neue" w:hAnsi="Helvetica Neue" w:cs="Arial"/>
          <w:color w:val="FF0000"/>
        </w:rPr>
        <w:t>[City Council/Board of Supervisors]</w:t>
      </w:r>
      <w:r w:rsidRPr="001115C5">
        <w:rPr>
          <w:rFonts w:ascii="Helvetica Neue" w:hAnsi="Helvetica Neue" w:cs="Arial"/>
        </w:rPr>
        <w:t xml:space="preserve">. The fee shall be calculated so as to fully recover, but not exceed the projected cost to administer and enforce this </w:t>
      </w:r>
      <w:r w:rsidR="008B35D9" w:rsidRPr="001115C5">
        <w:rPr>
          <w:rFonts w:ascii="Helvetica Neue" w:hAnsi="Helvetica Neue" w:cs="Arial"/>
          <w:color w:val="FF0000"/>
        </w:rPr>
        <w:t>[Article/Chapter]</w:t>
      </w:r>
      <w:r w:rsidRPr="001115C5">
        <w:rPr>
          <w:rFonts w:ascii="Helvetica Neue" w:hAnsi="Helvetica Neue" w:cs="Arial"/>
        </w:rPr>
        <w:t xml:space="preserve"> including, without limitations, issuing a permit, administering the permit program, retailer education, retailer inspection and </w:t>
      </w:r>
      <w:r w:rsidRPr="001115C5">
        <w:rPr>
          <w:rFonts w:ascii="Helvetica Neue" w:hAnsi="Helvetica Neue" w:cs="Arial"/>
        </w:rPr>
        <w:lastRenderedPageBreak/>
        <w:t xml:space="preserve">compliance checks, documentation of violations, and prosecution of violators. Fees and interest on their proceeds shall be used exclusively to fund administration and enforcement of this </w:t>
      </w:r>
      <w:r w:rsidR="008B35D9" w:rsidRPr="001115C5">
        <w:rPr>
          <w:rFonts w:ascii="Helvetica Neue" w:hAnsi="Helvetica Neue" w:cs="Arial"/>
          <w:color w:val="FF0000"/>
        </w:rPr>
        <w:t>[Article/Chapter]</w:t>
      </w:r>
      <w:r w:rsidRPr="001115C5">
        <w:rPr>
          <w:rFonts w:ascii="Helvetica Neue" w:hAnsi="Helvetica Neue" w:cs="Arial"/>
        </w:rPr>
        <w:t>. Fees are nonrefundable. Equity Applicants shall receive a one-year deferral of the permitting fee.</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0A2E42" w:rsidRPr="001115C5" w14:paraId="1F78550C" w14:textId="77777777" w:rsidTr="00895773">
        <w:tc>
          <w:tcPr>
            <w:tcW w:w="10188" w:type="dxa"/>
            <w:shd w:val="clear" w:color="auto" w:fill="D9D9D9" w:themeFill="background1" w:themeFillShade="D9"/>
          </w:tcPr>
          <w:p w14:paraId="4D631CA0" w14:textId="2E455FBA" w:rsidR="000A2E42" w:rsidRPr="001115C5" w:rsidRDefault="000A2E42" w:rsidP="000A2E42">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It is lawful to impose a fee on applicants in an amount sufficient to offset the cost of the entire Cannabis Retailer enforcement program (</w:t>
            </w:r>
            <w:r w:rsidRPr="001115C5">
              <w:rPr>
                <w:rFonts w:ascii="Helvetica Neue" w:eastAsia="Helvetica Neue" w:hAnsi="Helvetica Neue" w:cs="Arial"/>
                <w:i/>
                <w:iCs/>
              </w:rPr>
              <w:t>Sinclair Paint Co. v. Board of Equalization</w:t>
            </w:r>
            <w:r w:rsidRPr="001115C5">
              <w:rPr>
                <w:rFonts w:ascii="Helvetica Neue" w:eastAsia="Helvetica Neue" w:hAnsi="Helvetica Neue" w:cs="Arial"/>
              </w:rPr>
              <w:t xml:space="preserve">, 15 Cal. 4th 866 (1997); </w:t>
            </w:r>
            <w:r w:rsidRPr="001115C5">
              <w:rPr>
                <w:rFonts w:ascii="Helvetica Neue" w:eastAsia="Helvetica Neue" w:hAnsi="Helvetica Neue" w:cs="Arial"/>
                <w:i/>
                <w:iCs/>
              </w:rPr>
              <w:t>Griffith v. City of Santa Cruz</w:t>
            </w:r>
            <w:r w:rsidRPr="001115C5">
              <w:rPr>
                <w:rFonts w:ascii="Helvetica Neue" w:eastAsia="Helvetica Neue" w:hAnsi="Helvetica Neue" w:cs="Arial"/>
              </w:rPr>
              <w:t>, 207 Cal. App. 4th 982 (2012)). A permit fee can incorporate the cost of enforcing all laws related to Cannabis Retailing because a violation of any such law allows suspension of a permit. For example, a new inspector could be hired for Cannabis Retailer enforcement activities and a percentage of the cost of the position (including indirect and overhead costs) could be included in the fee so long as the same percentage of the inspector’s time is devoted to Cannabis enforcement.</w:t>
            </w:r>
          </w:p>
          <w:p w14:paraId="6E4DF76B" w14:textId="77777777" w:rsidR="000A2E42" w:rsidRPr="001115C5" w:rsidRDefault="000A2E42" w:rsidP="000A2E42">
            <w:pPr>
              <w:spacing w:before="120" w:after="120" w:line="360" w:lineRule="auto"/>
              <w:rPr>
                <w:rFonts w:ascii="Helvetica Neue" w:eastAsia="Helvetica Neue" w:hAnsi="Helvetica Neue" w:cs="Arial"/>
              </w:rPr>
            </w:pPr>
            <w:r w:rsidRPr="001115C5">
              <w:rPr>
                <w:rFonts w:ascii="Helvetica Neue" w:eastAsia="Helvetica Neue" w:hAnsi="Helvetica Neue" w:cs="Arial"/>
              </w:rPr>
              <w:t xml:space="preserve">One approach to setting the fee is to estimate the cost of administration and enforcement of the permit program and divide it by the number of expected permits. For example, estimate the number of stores in the city or county and how much time it will take a government employee to review applications and issue permits. The fraction of that employee’s time can then be used to calculate the annual cost of permit administration, based on the cost of that employee’s salary, benefits, and his or her share of administrative overhead such as rent, insurance, legal advice, etc. As for enforcement costs, calculate, for example, how many yearly inspections are necessary (ideally two to four per retailer) and how much staff time each inspection demands. Research suggests four inspections a year are needed for underage compliance checks (while these can be random and do not need to occur in all establishments each year, they should be publicized so retailers know they might be checked quarterly). Fee resolutions should also include an automatic adjustment for inflation. </w:t>
            </w:r>
          </w:p>
          <w:p w14:paraId="37F9B946" w14:textId="194ADCBC" w:rsidR="000A2E42" w:rsidRPr="001115C5" w:rsidRDefault="000A2E42" w:rsidP="000A2E42">
            <w:pPr>
              <w:spacing w:before="120" w:after="120" w:line="360" w:lineRule="auto"/>
              <w:rPr>
                <w:rFonts w:ascii="Helvetica Neue" w:eastAsia="Helvetica Neue" w:hAnsi="Helvetica Neue" w:cs="Arial"/>
              </w:rPr>
            </w:pPr>
            <w:r w:rsidRPr="001115C5">
              <w:rPr>
                <w:rFonts w:ascii="Helvetica Neue" w:eastAsia="Helvetica Neue" w:hAnsi="Helvetica Neue" w:cs="Arial"/>
              </w:rPr>
              <w:t xml:space="preserve">Costs to provide mandatory education can be included. We recommend fees can be scaled to size as measured by number of employees or annual revenue or increased if there is a history of violations. </w:t>
            </w:r>
          </w:p>
          <w:p w14:paraId="02457C50" w14:textId="517F3CC3" w:rsidR="000A2E42" w:rsidRPr="001115C5" w:rsidRDefault="000A2E42" w:rsidP="000A2E42">
            <w:pPr>
              <w:spacing w:before="120" w:after="120" w:line="360" w:lineRule="auto"/>
              <w:rPr>
                <w:rFonts w:ascii="Helvetica Neue" w:eastAsia="Helvetica Neue" w:hAnsi="Helvetica Neue" w:cs="Arial"/>
              </w:rPr>
            </w:pPr>
            <w:r w:rsidRPr="001115C5">
              <w:rPr>
                <w:rFonts w:ascii="Helvetica Neue" w:eastAsia="Helvetica Neue" w:hAnsi="Helvetica Neue" w:cs="Arial"/>
              </w:rPr>
              <w:lastRenderedPageBreak/>
              <w:t xml:space="preserve">It is important to document fee calculations for two reasons: to provide support for the fee amount and to refute a legal challenge claiming the fee exceeds the cost of administration and enforcement. More guidance on calculating a fee appears in the Griffith case cited above and in </w:t>
            </w:r>
            <w:r w:rsidRPr="001115C5">
              <w:rPr>
                <w:rFonts w:ascii="Helvetica Neue" w:eastAsia="Helvetica Neue" w:hAnsi="Helvetica Neue" w:cs="Arial"/>
                <w:i/>
                <w:iCs/>
              </w:rPr>
              <w:t>Griffith v. City of Santa Cruz</w:t>
            </w:r>
            <w:r w:rsidRPr="001115C5">
              <w:rPr>
                <w:rFonts w:ascii="Helvetica Neue" w:eastAsia="Helvetica Neue" w:hAnsi="Helvetica Neue" w:cs="Arial"/>
              </w:rPr>
              <w:t xml:space="preserve"> (2012) 207 Cal.App.4th 982.</w:t>
            </w:r>
          </w:p>
          <w:p w14:paraId="4D14511B" w14:textId="3EBEC049" w:rsidR="000A2E42" w:rsidRPr="001115C5" w:rsidRDefault="000A2E42" w:rsidP="000A2E42">
            <w:pPr>
              <w:spacing w:before="120" w:after="120" w:line="360" w:lineRule="auto"/>
              <w:rPr>
                <w:rFonts w:ascii="Helvetica Neue" w:eastAsia="Helvetica Neue" w:hAnsi="Helvetica Neue" w:cs="Arial"/>
              </w:rPr>
            </w:pPr>
            <w:r w:rsidRPr="001115C5">
              <w:rPr>
                <w:rFonts w:ascii="Helvetica Neue" w:eastAsia="Helvetica Neue" w:hAnsi="Helvetica Neue" w:cs="Arial"/>
              </w:rPr>
              <w:t>Note that the city or county can avoid having to calculate staff time by mandating that a set amount of time, e.g., 15 hours a week, shall be spent on permit enforcement activity (including enforcing the cannabis laws that give rise to a permit violation). New staff could be hired to meet this mandate and the cost can be incorporated into the permit fee.</w:t>
            </w:r>
          </w:p>
        </w:tc>
      </w:tr>
    </w:tbl>
    <w:p w14:paraId="49AAA102" w14:textId="530F1014" w:rsidR="00ED4D53" w:rsidRPr="001115C5" w:rsidRDefault="00ED4D53" w:rsidP="0070764D">
      <w:pPr>
        <w:pStyle w:val="Heading3"/>
        <w:spacing w:before="480"/>
        <w:rPr>
          <w:rFonts w:ascii="Helvetica Neue" w:hAnsi="Helvetica Neue"/>
        </w:rPr>
      </w:pPr>
      <w:bookmarkStart w:id="20" w:name="_Toc65578305"/>
      <w:r w:rsidRPr="001115C5">
        <w:rPr>
          <w:rFonts w:ascii="Helvetica Neue" w:hAnsi="Helvetica Neue"/>
        </w:rPr>
        <w:lastRenderedPageBreak/>
        <w:t>Section M. COMPLIANCE MONITORING</w:t>
      </w:r>
      <w:bookmarkEnd w:id="20"/>
    </w:p>
    <w:p w14:paraId="1E9172FE" w14:textId="2154F7D7" w:rsidR="000A2E42" w:rsidRPr="001115C5" w:rsidRDefault="00ED4D53" w:rsidP="00064063">
      <w:pPr>
        <w:pStyle w:val="ListParagraph"/>
        <w:numPr>
          <w:ilvl w:val="0"/>
          <w:numId w:val="20"/>
        </w:numPr>
        <w:spacing w:before="360" w:after="240"/>
        <w:ind w:left="360"/>
        <w:rPr>
          <w:rFonts w:ascii="Helvetica Neue" w:hAnsi="Helvetica Neue" w:cs="Arial"/>
        </w:rPr>
      </w:pPr>
      <w:r w:rsidRPr="001115C5">
        <w:rPr>
          <w:rFonts w:ascii="Helvetica Neue" w:hAnsi="Helvetica Neue" w:cs="Arial"/>
        </w:rPr>
        <w:t xml:space="preserve">The </w:t>
      </w:r>
      <w:r w:rsidRPr="001115C5">
        <w:rPr>
          <w:rFonts w:ascii="Helvetica Neue" w:hAnsi="Helvetica Neue" w:cs="Arial"/>
          <w:color w:val="FF0000"/>
        </w:rPr>
        <w:t xml:space="preserve">Department </w:t>
      </w:r>
      <w:r w:rsidRPr="001115C5">
        <w:rPr>
          <w:rFonts w:ascii="Helvetica Neue" w:hAnsi="Helvetica Neue" w:cs="Arial"/>
        </w:rPr>
        <w:t xml:space="preserve">shall monitor compliance with this </w:t>
      </w:r>
      <w:r w:rsidR="008B35D9" w:rsidRPr="001115C5">
        <w:rPr>
          <w:rFonts w:ascii="Helvetica Neue" w:hAnsi="Helvetica Neue" w:cs="Arial"/>
          <w:color w:val="FF0000"/>
        </w:rPr>
        <w:t>[Article/Chapter]</w:t>
      </w:r>
      <w:r w:rsidRPr="001115C5">
        <w:rPr>
          <w:rFonts w:ascii="Helvetica Neue" w:hAnsi="Helvetica Neue" w:cs="Arial"/>
        </w:rPr>
        <w:t xml:space="preserve">. In addition, any peace officer may enforce this </w:t>
      </w:r>
      <w:r w:rsidR="008B35D9" w:rsidRPr="001115C5">
        <w:rPr>
          <w:rFonts w:ascii="Helvetica Neue" w:hAnsi="Helvetica Neue" w:cs="Arial"/>
          <w:color w:val="FF0000"/>
        </w:rPr>
        <w:t>[Article/Chapter]</w:t>
      </w:r>
      <w:r w:rsidRPr="001115C5">
        <w:rPr>
          <w:rFonts w:ascii="Helvetica Neue" w:hAnsi="Helvetica Neue" w:cs="Arial"/>
        </w:rPr>
        <w:t xml:space="preserve">. The </w:t>
      </w:r>
      <w:r w:rsidR="008B35D9" w:rsidRPr="001115C5">
        <w:rPr>
          <w:rFonts w:ascii="Helvetica Neue" w:hAnsi="Helvetica Neue" w:cs="Arial"/>
          <w:color w:val="FF0000"/>
        </w:rPr>
        <w:t>[City/County]</w:t>
      </w:r>
      <w:r w:rsidRPr="001115C5">
        <w:rPr>
          <w:rFonts w:ascii="Helvetica Neue" w:hAnsi="Helvetica Neue" w:cs="Arial"/>
        </w:rPr>
        <w:t xml:space="preserve"> may designate any number of additional Persons to monitor compliance with this </w:t>
      </w:r>
      <w:r w:rsidR="008B35D9" w:rsidRPr="001115C5">
        <w:rPr>
          <w:rFonts w:ascii="Helvetica Neue" w:hAnsi="Helvetica Neue" w:cs="Arial"/>
          <w:color w:val="FF0000"/>
        </w:rPr>
        <w:t>[Article/Chapter]</w:t>
      </w:r>
      <w:r w:rsidRPr="001115C5">
        <w:rPr>
          <w:rFonts w:ascii="Helvetica Neue" w:hAnsi="Helvetica Neue" w:cs="Arial"/>
        </w:rPr>
        <w:t>.</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ED4D53" w:rsidRPr="001115C5" w14:paraId="21E85257" w14:textId="77777777" w:rsidTr="00895773">
        <w:tc>
          <w:tcPr>
            <w:tcW w:w="10188" w:type="dxa"/>
            <w:shd w:val="clear" w:color="auto" w:fill="D9D9D9" w:themeFill="background1" w:themeFillShade="D9"/>
          </w:tcPr>
          <w:p w14:paraId="0E266E91" w14:textId="503FA43C" w:rsidR="00ED4D53" w:rsidRPr="001115C5" w:rsidRDefault="00ED4D53" w:rsidP="00ED4D53">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It is important to designate who will monitor Cannabis Retailers’ compliance with the ordinance. Explicitly naming the department responsible for inspections helps ensure it will be enforced.</w:t>
            </w:r>
          </w:p>
          <w:p w14:paraId="736C65DF" w14:textId="77777777" w:rsidR="00ED4D53" w:rsidRPr="001115C5" w:rsidRDefault="00ED4D53" w:rsidP="00ED4D53">
            <w:pPr>
              <w:spacing w:before="120" w:after="120" w:line="360" w:lineRule="auto"/>
              <w:rPr>
                <w:rFonts w:ascii="Helvetica Neue" w:eastAsia="Helvetica Neue" w:hAnsi="Helvetica Neue" w:cs="Arial"/>
              </w:rPr>
            </w:pPr>
            <w:r w:rsidRPr="001115C5">
              <w:rPr>
                <w:rFonts w:ascii="Helvetica Neue" w:eastAsia="Helvetica Neue" w:hAnsi="Helvetica Neue" w:cs="Arial"/>
              </w:rPr>
              <w:t>Routine enforcement should be handled as a regulatory matter, like restaurant inspections, rather than as a law enforcement matter. Enforcement should seek to minimize cannabis-related incarcerations. Some jurisdictions have developed non-penal approaches such as shutting off water or utilities for illicit or noncompliant dispensaries.</w:t>
            </w:r>
          </w:p>
          <w:p w14:paraId="488498D7" w14:textId="208D1ADE" w:rsidR="00ED4D53" w:rsidRPr="001115C5" w:rsidRDefault="00ED4D53" w:rsidP="00ED4D53">
            <w:pPr>
              <w:spacing w:before="120" w:after="120" w:line="360" w:lineRule="auto"/>
              <w:rPr>
                <w:rFonts w:ascii="Helvetica Neue" w:eastAsia="Helvetica Neue" w:hAnsi="Helvetica Neue" w:cs="Arial"/>
              </w:rPr>
            </w:pPr>
            <w:r w:rsidRPr="001115C5">
              <w:rPr>
                <w:rFonts w:ascii="Helvetica Neue" w:eastAsia="Helvetica Neue" w:hAnsi="Helvetica Neue" w:cs="Arial"/>
              </w:rPr>
              <w:t>As reducing the sale of Cannabis Products to minors is a key concern, communities may wish to ensure that compliance with youth access laws is a consistent element of inspection, as with the sale of alcohol and tobacco. Communities should also conduct inspections to determine compliance with the local and state laws relating to product types, warnings, and advertising.</w:t>
            </w:r>
          </w:p>
        </w:tc>
      </w:tr>
    </w:tbl>
    <w:p w14:paraId="0F9263A6" w14:textId="14D837A7" w:rsidR="00ED4D53" w:rsidRPr="001115C5" w:rsidRDefault="00ED4D53" w:rsidP="00064063">
      <w:pPr>
        <w:pStyle w:val="ListParagraph"/>
        <w:numPr>
          <w:ilvl w:val="0"/>
          <w:numId w:val="20"/>
        </w:numPr>
        <w:spacing w:before="360" w:after="240"/>
        <w:ind w:left="360"/>
        <w:rPr>
          <w:rFonts w:ascii="Helvetica Neue" w:hAnsi="Helvetica Neue" w:cs="Arial"/>
        </w:rPr>
      </w:pPr>
      <w:r w:rsidRPr="001115C5">
        <w:rPr>
          <w:rFonts w:ascii="Helvetica Neue" w:hAnsi="Helvetica Neue" w:cs="Arial"/>
        </w:rPr>
        <w:lastRenderedPageBreak/>
        <w:t xml:space="preserve">The </w:t>
      </w:r>
      <w:r w:rsidRPr="001115C5">
        <w:rPr>
          <w:rFonts w:ascii="Helvetica Neue" w:hAnsi="Helvetica Neue" w:cs="Arial"/>
          <w:color w:val="FF0000"/>
        </w:rPr>
        <w:t>Department</w:t>
      </w:r>
      <w:r w:rsidRPr="001115C5">
        <w:rPr>
          <w:rFonts w:ascii="Helvetica Neue" w:hAnsi="Helvetica Neue" w:cs="Arial"/>
        </w:rPr>
        <w:t xml:space="preserve"> shall inspect each Cannabis Retailer at least twice in each </w:t>
      </w:r>
      <w:r w:rsidR="00123D19">
        <w:rPr>
          <w:rFonts w:ascii="Helvetica Neue" w:hAnsi="Helvetica Neue" w:cs="Arial"/>
        </w:rPr>
        <w:t>twelv</w:t>
      </w:r>
      <w:r w:rsidR="00123D19" w:rsidRPr="00123D19">
        <w:rPr>
          <w:rFonts w:ascii="Helvetica Neue" w:hAnsi="Helvetica Neue" w:cs="Arial"/>
        </w:rPr>
        <w:t>e (</w:t>
      </w:r>
      <w:r w:rsidRPr="00123D19">
        <w:rPr>
          <w:rFonts w:ascii="Helvetica Neue" w:hAnsi="Helvetica Neue" w:cs="Arial"/>
        </w:rPr>
        <w:t>12</w:t>
      </w:r>
      <w:r w:rsidR="00123D19" w:rsidRPr="00123D19">
        <w:rPr>
          <w:rFonts w:ascii="Helvetica Neue" w:hAnsi="Helvetica Neue" w:cs="Arial"/>
        </w:rPr>
        <w:t xml:space="preserve">) </w:t>
      </w:r>
      <w:r w:rsidRPr="00123D19">
        <w:rPr>
          <w:rFonts w:ascii="Helvetica Neue" w:hAnsi="Helvetica Neue" w:cs="Arial"/>
        </w:rPr>
        <w:t>month</w:t>
      </w:r>
      <w:r w:rsidRPr="001115C5">
        <w:rPr>
          <w:rFonts w:ascii="Helvetica Neue" w:hAnsi="Helvetica Neue" w:cs="Arial"/>
        </w:rPr>
        <w:t xml:space="preserve"> period. Nothing in this paragraph shall create a right of action in any permit holder or other Person against the </w:t>
      </w:r>
      <w:r w:rsidR="008B35D9" w:rsidRPr="001115C5">
        <w:rPr>
          <w:rFonts w:ascii="Helvetica Neue" w:hAnsi="Helvetica Neue" w:cs="Arial"/>
          <w:color w:val="FF0000"/>
        </w:rPr>
        <w:t>[City/County]</w:t>
      </w:r>
      <w:r w:rsidRPr="001115C5">
        <w:rPr>
          <w:rFonts w:ascii="Helvetica Neue" w:hAnsi="Helvetica Neue" w:cs="Arial"/>
          <w:color w:val="FF0000"/>
        </w:rPr>
        <w:t xml:space="preserve"> </w:t>
      </w:r>
      <w:r w:rsidRPr="001115C5">
        <w:rPr>
          <w:rFonts w:ascii="Helvetica Neue" w:hAnsi="Helvetica Neue" w:cs="Arial"/>
        </w:rPr>
        <w:t>or its agents.</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ED4D53" w:rsidRPr="001115C5" w14:paraId="4B336B9F" w14:textId="77777777" w:rsidTr="00895773">
        <w:tc>
          <w:tcPr>
            <w:tcW w:w="10188" w:type="dxa"/>
            <w:shd w:val="clear" w:color="auto" w:fill="D9D9D9" w:themeFill="background1" w:themeFillShade="D9"/>
          </w:tcPr>
          <w:p w14:paraId="1B98849D" w14:textId="77777777" w:rsidR="00ED4D53" w:rsidRPr="001115C5" w:rsidRDefault="00ED4D53" w:rsidP="00ED4D53">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Providing a minimum number of inspections helps ensure some level of enforcement. Two to four inspections per year may be appropriate depending on the number of Cannabis Retailers in a community and the level of funding the permit fee provides. Communities with a large number of Cannabis Retailers may wish to inspect a subset of Cannabis Retailers selected randomly or based on past violations and complaints.</w:t>
            </w:r>
          </w:p>
          <w:p w14:paraId="2DFA9D2C" w14:textId="1768BA0D" w:rsidR="00ED4D53" w:rsidRPr="001115C5" w:rsidRDefault="00ED4D53" w:rsidP="00ED4D53">
            <w:pPr>
              <w:spacing w:before="120" w:after="120" w:line="360" w:lineRule="auto"/>
              <w:rPr>
                <w:rFonts w:ascii="Helvetica Neue" w:eastAsia="Helvetica Neue" w:hAnsi="Helvetica Neue" w:cs="Arial"/>
              </w:rPr>
            </w:pPr>
            <w:r w:rsidRPr="001115C5">
              <w:rPr>
                <w:rFonts w:ascii="Helvetica Neue" w:eastAsia="Helvetica Neue" w:hAnsi="Helvetica Neue" w:cs="Arial"/>
              </w:rPr>
              <w:t xml:space="preserve">Counties cannot mandate that the sheriff conduct inspections. However, a county can provide dedicated funding to the sheriff that can be used only to conduct </w:t>
            </w:r>
            <w:proofErr w:type="gramStart"/>
            <w:r w:rsidRPr="001115C5">
              <w:rPr>
                <w:rFonts w:ascii="Helvetica Neue" w:eastAsia="Helvetica Neue" w:hAnsi="Helvetica Neue" w:cs="Arial"/>
              </w:rPr>
              <w:t>inspections</w:t>
            </w:r>
            <w:proofErr w:type="gramEnd"/>
            <w:r w:rsidRPr="001115C5">
              <w:rPr>
                <w:rFonts w:ascii="Helvetica Neue" w:eastAsia="Helvetica Neue" w:hAnsi="Helvetica Neue" w:cs="Arial"/>
              </w:rPr>
              <w:t xml:space="preserve"> or it can use code enforcement staff to do so. If dedicated funding for Sheriff inspections is desired, replace the first sentence in subsection (1) with: “The County Sheriff’s Department shall be funded to inspect each Cannabis Retailer at least [two] times per 12- month period.”</w:t>
            </w:r>
          </w:p>
          <w:p w14:paraId="0ACF3BBD" w14:textId="3ACA05CD" w:rsidR="00ED4D53" w:rsidRPr="001115C5" w:rsidRDefault="00ED4D53" w:rsidP="00ED4D53">
            <w:pPr>
              <w:spacing w:before="120" w:after="120" w:line="360" w:lineRule="auto"/>
              <w:rPr>
                <w:rFonts w:ascii="Helvetica Neue" w:eastAsia="Helvetica Neue" w:hAnsi="Helvetica Neue" w:cs="Arial"/>
              </w:rPr>
            </w:pPr>
            <w:r w:rsidRPr="001115C5">
              <w:rPr>
                <w:rFonts w:ascii="Helvetica Neue" w:eastAsia="Helvetica Neue" w:hAnsi="Helvetica Neue" w:cs="Arial"/>
              </w:rPr>
              <w:t>Alternatively, a county could contract for enforcement and inspections. Cities, on the other hand, can directly mandate that a city department conduct inspections. Or a city may wish to contract with the county health department.</w:t>
            </w:r>
          </w:p>
        </w:tc>
      </w:tr>
    </w:tbl>
    <w:p w14:paraId="402D2556" w14:textId="77777777" w:rsidR="009739AB" w:rsidRPr="001115C5" w:rsidRDefault="00ED4D53" w:rsidP="00064063">
      <w:pPr>
        <w:pStyle w:val="ListParagraph"/>
        <w:numPr>
          <w:ilvl w:val="0"/>
          <w:numId w:val="20"/>
        </w:numPr>
        <w:spacing w:before="480" w:after="240"/>
        <w:ind w:left="360"/>
        <w:contextualSpacing w:val="0"/>
        <w:rPr>
          <w:rFonts w:ascii="Helvetica Neue" w:hAnsi="Helvetica Neue" w:cs="Arial"/>
        </w:rPr>
      </w:pPr>
      <w:r w:rsidRPr="001115C5">
        <w:rPr>
          <w:rFonts w:ascii="Helvetica Neue" w:hAnsi="Helvetica Neue" w:cs="Arial"/>
        </w:rPr>
        <w:t xml:space="preserve">The </w:t>
      </w:r>
      <w:r w:rsidR="008B35D9" w:rsidRPr="001115C5">
        <w:rPr>
          <w:rFonts w:ascii="Helvetica Neue" w:hAnsi="Helvetica Neue" w:cs="Arial"/>
          <w:color w:val="FF0000"/>
        </w:rPr>
        <w:t>[City/County]</w:t>
      </w:r>
      <w:r w:rsidRPr="001115C5">
        <w:rPr>
          <w:rFonts w:ascii="Helvetica Neue" w:hAnsi="Helvetica Neue" w:cs="Arial"/>
        </w:rPr>
        <w:t xml:space="preserve"> shall not enforce any law establishing a minimum age for Cannabis purchases or possession against a Person who otherwise might be in violation of such law because of the Person’s age (hereinafter “Youth Decoy”) if the potential violation occurs when:</w:t>
      </w:r>
    </w:p>
    <w:p w14:paraId="44CCEF5E" w14:textId="77777777" w:rsidR="009739AB" w:rsidRPr="001115C5" w:rsidRDefault="00ED4D53" w:rsidP="00064063">
      <w:pPr>
        <w:pStyle w:val="ListParagraph"/>
        <w:numPr>
          <w:ilvl w:val="1"/>
          <w:numId w:val="20"/>
        </w:numPr>
        <w:spacing w:after="240"/>
        <w:ind w:left="792"/>
        <w:contextualSpacing w:val="0"/>
        <w:rPr>
          <w:rFonts w:ascii="Helvetica Neue" w:hAnsi="Helvetica Neue" w:cs="Arial"/>
        </w:rPr>
      </w:pPr>
      <w:r w:rsidRPr="001115C5">
        <w:rPr>
          <w:rFonts w:ascii="Helvetica Neue" w:hAnsi="Helvetica Neue" w:cs="Arial"/>
        </w:rPr>
        <w:t xml:space="preserve">The Youth Decoy is participating in an inspection supervised by a peace officer, code enforcement official, or another Person designated by the </w:t>
      </w:r>
      <w:r w:rsidR="008B35D9" w:rsidRPr="001115C5">
        <w:rPr>
          <w:rFonts w:ascii="Helvetica Neue" w:hAnsi="Helvetica Neue" w:cs="Arial"/>
          <w:color w:val="FF0000"/>
        </w:rPr>
        <w:t>[City/County]</w:t>
      </w:r>
      <w:r w:rsidRPr="001115C5">
        <w:rPr>
          <w:rFonts w:ascii="Helvetica Neue" w:hAnsi="Helvetica Neue" w:cs="Arial"/>
        </w:rPr>
        <w:t xml:space="preserve"> to monitor compliance with this </w:t>
      </w:r>
      <w:r w:rsidR="008B35D9" w:rsidRPr="001115C5">
        <w:rPr>
          <w:rFonts w:ascii="Helvetica Neue" w:hAnsi="Helvetica Neue" w:cs="Arial"/>
          <w:color w:val="FF0000"/>
        </w:rPr>
        <w:t>[Article/Chapter</w:t>
      </w:r>
      <w:proofErr w:type="gramStart"/>
      <w:r w:rsidR="008B35D9" w:rsidRPr="001115C5">
        <w:rPr>
          <w:rFonts w:ascii="Helvetica Neue" w:hAnsi="Helvetica Neue" w:cs="Arial"/>
          <w:color w:val="FF0000"/>
        </w:rPr>
        <w:t>]</w:t>
      </w:r>
      <w:r w:rsidRPr="001115C5">
        <w:rPr>
          <w:rFonts w:ascii="Helvetica Neue" w:hAnsi="Helvetica Neue" w:cs="Arial"/>
        </w:rPr>
        <w:t>;</w:t>
      </w:r>
      <w:proofErr w:type="gramEnd"/>
    </w:p>
    <w:p w14:paraId="47E1EE8D" w14:textId="77777777" w:rsidR="009739AB" w:rsidRPr="001115C5" w:rsidRDefault="00ED4D53" w:rsidP="00064063">
      <w:pPr>
        <w:pStyle w:val="ListParagraph"/>
        <w:numPr>
          <w:ilvl w:val="1"/>
          <w:numId w:val="20"/>
        </w:numPr>
        <w:spacing w:after="240"/>
        <w:ind w:left="792"/>
        <w:contextualSpacing w:val="0"/>
        <w:rPr>
          <w:rFonts w:ascii="Helvetica Neue" w:hAnsi="Helvetica Neue" w:cs="Arial"/>
        </w:rPr>
      </w:pPr>
      <w:r w:rsidRPr="001115C5">
        <w:rPr>
          <w:rFonts w:ascii="Helvetica Neue" w:hAnsi="Helvetica Neue" w:cs="Arial"/>
        </w:rPr>
        <w:t xml:space="preserve">The Youth Decoy is acting as an agent of a Person designated by the </w:t>
      </w:r>
      <w:r w:rsidR="008B35D9" w:rsidRPr="001115C5">
        <w:rPr>
          <w:rFonts w:ascii="Helvetica Neue" w:hAnsi="Helvetica Neue" w:cs="Arial"/>
          <w:color w:val="FF0000"/>
        </w:rPr>
        <w:t>[City/County]</w:t>
      </w:r>
      <w:r w:rsidRPr="001115C5">
        <w:rPr>
          <w:rFonts w:ascii="Helvetica Neue" w:hAnsi="Helvetica Neue" w:cs="Arial"/>
        </w:rPr>
        <w:t xml:space="preserve"> to monitor compliance with this </w:t>
      </w:r>
      <w:r w:rsidR="008B35D9" w:rsidRPr="001115C5">
        <w:rPr>
          <w:rFonts w:ascii="Helvetica Neue" w:hAnsi="Helvetica Neue" w:cs="Arial"/>
          <w:color w:val="FF0000"/>
        </w:rPr>
        <w:t>[Article/Chapter]</w:t>
      </w:r>
      <w:r w:rsidRPr="001115C5">
        <w:rPr>
          <w:rFonts w:ascii="Helvetica Neue" w:hAnsi="Helvetica Neue" w:cs="Arial"/>
        </w:rPr>
        <w:t>; or</w:t>
      </w:r>
    </w:p>
    <w:p w14:paraId="6AAB7B24" w14:textId="4A12A21C" w:rsidR="00ED4D53" w:rsidRPr="001115C5" w:rsidRDefault="00ED4D53" w:rsidP="00064063">
      <w:pPr>
        <w:pStyle w:val="ListParagraph"/>
        <w:numPr>
          <w:ilvl w:val="1"/>
          <w:numId w:val="20"/>
        </w:numPr>
        <w:spacing w:after="240"/>
        <w:ind w:left="792"/>
        <w:contextualSpacing w:val="0"/>
        <w:rPr>
          <w:rFonts w:ascii="Helvetica Neue" w:hAnsi="Helvetica Neue" w:cs="Arial"/>
        </w:rPr>
      </w:pPr>
      <w:r w:rsidRPr="001115C5">
        <w:rPr>
          <w:rFonts w:ascii="Helvetica Neue" w:hAnsi="Helvetica Neue" w:cs="Arial"/>
        </w:rPr>
        <w:t xml:space="preserve">The Youth Decoy is participating in an inspection funded in part, either directly or indirectly by the </w:t>
      </w:r>
      <w:r w:rsidR="008B35D9" w:rsidRPr="001115C5">
        <w:rPr>
          <w:rFonts w:ascii="Helvetica Neue" w:hAnsi="Helvetica Neue" w:cs="Arial"/>
          <w:color w:val="FF0000"/>
        </w:rPr>
        <w:t>[City/County]</w:t>
      </w:r>
      <w:r w:rsidRPr="001115C5">
        <w:rPr>
          <w:rFonts w:ascii="Helvetica Neue" w:hAnsi="Helvetica Neue" w:cs="Arial"/>
        </w:rPr>
        <w:t xml:space="preserve"> or the California Department of Consumer Affairs.</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0F5B2C" w:rsidRPr="001115C5" w14:paraId="342552D1" w14:textId="77777777" w:rsidTr="00895773">
        <w:tc>
          <w:tcPr>
            <w:tcW w:w="10188" w:type="dxa"/>
            <w:shd w:val="clear" w:color="auto" w:fill="D9D9D9" w:themeFill="background1" w:themeFillShade="D9"/>
          </w:tcPr>
          <w:p w14:paraId="1B76B5B3" w14:textId="005D8A6D" w:rsidR="000F5B2C" w:rsidRPr="001115C5" w:rsidRDefault="000F5B2C" w:rsidP="000F5B2C">
            <w:pPr>
              <w:spacing w:before="240" w:after="120" w:line="360" w:lineRule="auto"/>
              <w:rPr>
                <w:rFonts w:ascii="Helvetica Neue" w:eastAsia="Helvetica Neue" w:hAnsi="Helvetica Neue" w:cs="Arial"/>
              </w:rPr>
            </w:pPr>
            <w:r w:rsidRPr="001115C5">
              <w:rPr>
                <w:rFonts w:ascii="Helvetica Neue" w:eastAsia="Helvetica Neue" w:hAnsi="Helvetica Neue" w:cs="Arial"/>
                <w:b/>
                <w:bCs/>
              </w:rPr>
              <w:lastRenderedPageBreak/>
              <w:t>COMMENT</w:t>
            </w:r>
            <w:r w:rsidRPr="001115C5">
              <w:rPr>
                <w:rFonts w:ascii="Helvetica Neue" w:eastAsia="Helvetica Neue" w:hAnsi="Helvetica Neue" w:cs="Arial"/>
              </w:rPr>
              <w:t>: This provision is intended to permit youth and young adults to participate in inspections without first obtaining a letter of immunity from the city or county. However, this provision does not provide protection from prosecution by agencies other than the city or county adopting this ordinance. A letter of immunity from the district attorney is still recommended.</w:t>
            </w:r>
          </w:p>
        </w:tc>
      </w:tr>
    </w:tbl>
    <w:p w14:paraId="3DED904A" w14:textId="7267F55A" w:rsidR="000F5B2C" w:rsidRPr="001115C5" w:rsidRDefault="000F5B2C" w:rsidP="00276FA9">
      <w:pPr>
        <w:pStyle w:val="Heading3"/>
        <w:spacing w:before="480" w:after="240"/>
        <w:rPr>
          <w:rFonts w:ascii="Helvetica Neue" w:hAnsi="Helvetica Neue"/>
        </w:rPr>
      </w:pPr>
      <w:bookmarkStart w:id="21" w:name="_Toc65578306"/>
      <w:r w:rsidRPr="001115C5">
        <w:rPr>
          <w:rFonts w:ascii="Helvetica Neue" w:hAnsi="Helvetica Neue"/>
        </w:rPr>
        <w:t>Section N. REMEDIES FOR VIOLATIONS</w:t>
      </w:r>
      <w:bookmarkEnd w:id="21"/>
    </w:p>
    <w:p w14:paraId="1FBEB106" w14:textId="0F742EA8" w:rsidR="000F5B2C" w:rsidRPr="001115C5" w:rsidRDefault="000F5B2C" w:rsidP="00064063">
      <w:pPr>
        <w:pStyle w:val="ListParagraph"/>
        <w:numPr>
          <w:ilvl w:val="0"/>
          <w:numId w:val="21"/>
        </w:numPr>
        <w:spacing w:after="240"/>
        <w:ind w:left="360"/>
        <w:rPr>
          <w:rFonts w:ascii="Helvetica Neue" w:hAnsi="Helvetica Neue" w:cs="Arial"/>
        </w:rPr>
      </w:pPr>
      <w:r w:rsidRPr="001115C5">
        <w:rPr>
          <w:rFonts w:ascii="Helvetica Neue" w:hAnsi="Helvetica Neue" w:cs="Arial"/>
          <w:b/>
          <w:bCs/>
        </w:rPr>
        <w:t>Suspension or Revocation of Permit for Violation</w:t>
      </w:r>
      <w:r w:rsidRPr="001115C5">
        <w:rPr>
          <w:rFonts w:ascii="Helvetica Neue" w:hAnsi="Helvetica Neue" w:cs="Arial"/>
        </w:rPr>
        <w:t xml:space="preserve">. In addition to any other penalty authorized by law, the </w:t>
      </w:r>
      <w:r w:rsidRPr="001115C5">
        <w:rPr>
          <w:rFonts w:ascii="Helvetica Neue" w:hAnsi="Helvetica Neue" w:cs="Arial"/>
          <w:color w:val="FF0000"/>
        </w:rPr>
        <w:t>Department</w:t>
      </w:r>
      <w:r w:rsidRPr="001115C5">
        <w:rPr>
          <w:rFonts w:ascii="Helvetica Neue" w:hAnsi="Helvetica Neue" w:cs="Arial"/>
        </w:rPr>
        <w:t xml:space="preserve"> shall suspend or revoke a Conditional Use Permit for Cannabis Retailing if any court of competent jurisdiction determines, or the </w:t>
      </w:r>
      <w:r w:rsidRPr="001115C5">
        <w:rPr>
          <w:rFonts w:ascii="Helvetica Neue" w:hAnsi="Helvetica Neue" w:cs="Arial"/>
          <w:color w:val="FF0000"/>
        </w:rPr>
        <w:t>Department</w:t>
      </w:r>
      <w:r w:rsidRPr="001115C5">
        <w:rPr>
          <w:rFonts w:ascii="Helvetica Neue" w:hAnsi="Helvetica Neue" w:cs="Arial"/>
        </w:rPr>
        <w:t xml:space="preserve"> finds based on a preponderance of the evidence after the permit holder is afforded notice and an opportunity to be heard, that the permit holder, or any of the permit holder’s agents or employees, has violated this </w:t>
      </w:r>
      <w:r w:rsidR="008B35D9" w:rsidRPr="001115C5">
        <w:rPr>
          <w:rFonts w:ascii="Helvetica Neue" w:hAnsi="Helvetica Neue" w:cs="Arial"/>
          <w:color w:val="FF0000"/>
        </w:rPr>
        <w:t>[Article/Chapter]</w:t>
      </w:r>
      <w:r w:rsidRPr="001115C5">
        <w:rPr>
          <w:rFonts w:ascii="Helvetica Neue" w:hAnsi="Helvetica Neue" w:cs="Arial"/>
        </w:rPr>
        <w:t>, or has pleaded guilty, “no contest” or its equivalent, or admitted to a violation of any local or state law applicable to Cannabis, Cannabis Products, Cannabis Marketing or Advertising, or Cannabis Retailing.</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0F5B2C" w:rsidRPr="001115C5" w14:paraId="07A0DB27" w14:textId="77777777" w:rsidTr="00895773">
        <w:tc>
          <w:tcPr>
            <w:tcW w:w="10188" w:type="dxa"/>
            <w:shd w:val="clear" w:color="auto" w:fill="D9D9D9" w:themeFill="background1" w:themeFillShade="D9"/>
          </w:tcPr>
          <w:p w14:paraId="018E3960" w14:textId="5EBAF91F" w:rsidR="000F5B2C" w:rsidRPr="001115C5" w:rsidRDefault="000F5B2C" w:rsidP="000F5B2C">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This Model Ordinance does not contain the entire procedure for suspension of a conditional use permit. This procedure may already exist in the conditional use permit sections of your code. The administrative procedure, civil proceeding, or combination of both, should be tailored to the needs of your community and must comply with the basic requirements of due process (notice to retailer and an opportunity to be heard).</w:t>
            </w:r>
          </w:p>
          <w:p w14:paraId="27A1DCD0" w14:textId="45DBC2C8" w:rsidR="000F5B2C" w:rsidRPr="001115C5" w:rsidRDefault="000F5B2C" w:rsidP="000F5B2C">
            <w:pPr>
              <w:spacing w:before="120" w:after="120" w:line="360" w:lineRule="auto"/>
              <w:rPr>
                <w:rFonts w:ascii="Helvetica Neue" w:eastAsia="Helvetica Neue" w:hAnsi="Helvetica Neue" w:cs="Arial"/>
              </w:rPr>
            </w:pPr>
            <w:r w:rsidRPr="001115C5">
              <w:rPr>
                <w:rFonts w:ascii="Helvetica Neue" w:eastAsia="Helvetica Neue" w:hAnsi="Helvetica Neue" w:cs="Arial"/>
              </w:rPr>
              <w:t>A defendant’s plea of “no contest” or “nolo contendere” usually is intended to avoid a “guilty” plea that could be used against him or her in a subsequent civil suit. This provision puts a Cannabis Retailer on notice that even a “no contest” plea can still establish a permit violation and result in suspension or revocation of a permit. California law allows consideration of a “no contest” plea in licensing decisions</w:t>
            </w:r>
            <w:r w:rsidRPr="00123D19">
              <w:rPr>
                <w:rFonts w:ascii="Helvetica Neue" w:eastAsia="Helvetica Neue" w:hAnsi="Helvetica Neue" w:cs="Arial"/>
              </w:rPr>
              <w:t>. See,</w:t>
            </w:r>
            <w:r w:rsidRPr="001115C5">
              <w:rPr>
                <w:rFonts w:ascii="Helvetica Neue" w:eastAsia="Helvetica Neue" w:hAnsi="Helvetica Neue" w:cs="Arial"/>
                <w:i/>
                <w:iCs/>
              </w:rPr>
              <w:t xml:space="preserve"> </w:t>
            </w:r>
            <w:r w:rsidRPr="001115C5">
              <w:rPr>
                <w:rFonts w:ascii="Helvetica Neue" w:eastAsia="Helvetica Neue" w:hAnsi="Helvetica Neue" w:cs="Arial"/>
              </w:rPr>
              <w:t xml:space="preserve">Business and Professions Code section 5063(a) regarding CPA licenses. Note that a “no contest” plea can be used only to suspend a license, not to impose any other enforcement provisions provided in the ordinance. If additional enforcement is desired (e.g., </w:t>
            </w:r>
            <w:r w:rsidRPr="001115C5">
              <w:rPr>
                <w:rFonts w:ascii="Helvetica Neue" w:eastAsia="Helvetica Neue" w:hAnsi="Helvetica Neue" w:cs="Arial"/>
              </w:rPr>
              <w:lastRenderedPageBreak/>
              <w:t>imposing a civil fine), the City or County will need to prove the underlying violation without reliance on the “no contest” plea.</w:t>
            </w:r>
          </w:p>
        </w:tc>
      </w:tr>
    </w:tbl>
    <w:p w14:paraId="1AD7D5A1" w14:textId="77777777" w:rsidR="00722660" w:rsidRPr="001115C5" w:rsidRDefault="000F5B2C" w:rsidP="00064063">
      <w:pPr>
        <w:pStyle w:val="ListParagraph"/>
        <w:numPr>
          <w:ilvl w:val="0"/>
          <w:numId w:val="21"/>
        </w:numPr>
        <w:spacing w:before="480" w:after="240"/>
        <w:ind w:left="360"/>
        <w:contextualSpacing w:val="0"/>
        <w:rPr>
          <w:rFonts w:ascii="Helvetica Neue" w:hAnsi="Helvetica Neue" w:cs="Arial"/>
        </w:rPr>
      </w:pPr>
      <w:r w:rsidRPr="001115C5">
        <w:rPr>
          <w:rFonts w:ascii="Helvetica Neue" w:hAnsi="Helvetica Neue" w:cs="Arial"/>
        </w:rPr>
        <w:lastRenderedPageBreak/>
        <w:t>Fees for Suspensions.</w:t>
      </w:r>
    </w:p>
    <w:p w14:paraId="402785E4" w14:textId="65D586CA" w:rsidR="00722660" w:rsidRPr="001115C5" w:rsidRDefault="000F5B2C" w:rsidP="00064063">
      <w:pPr>
        <w:pStyle w:val="ListParagraph"/>
        <w:numPr>
          <w:ilvl w:val="1"/>
          <w:numId w:val="21"/>
        </w:numPr>
        <w:spacing w:after="240"/>
        <w:ind w:left="792"/>
        <w:contextualSpacing w:val="0"/>
        <w:rPr>
          <w:rFonts w:ascii="Helvetica Neue" w:hAnsi="Helvetica Neue" w:cs="Arial"/>
        </w:rPr>
      </w:pPr>
      <w:r w:rsidRPr="001115C5">
        <w:rPr>
          <w:rFonts w:ascii="Helvetica Neue" w:hAnsi="Helvetica Neue" w:cs="Arial"/>
        </w:rPr>
        <w:t xml:space="preserve">Upon a first violation of this </w:t>
      </w:r>
      <w:r w:rsidR="008B35D9" w:rsidRPr="001115C5">
        <w:rPr>
          <w:rFonts w:ascii="Helvetica Neue" w:hAnsi="Helvetica Neue" w:cs="Arial"/>
          <w:color w:val="FF0000"/>
        </w:rPr>
        <w:t>[Article/Chapter]</w:t>
      </w:r>
      <w:r w:rsidRPr="001115C5">
        <w:rPr>
          <w:rFonts w:ascii="Helvetica Neue" w:hAnsi="Helvetica Neue" w:cs="Arial"/>
        </w:rPr>
        <w:t xml:space="preserve"> at a location within any </w:t>
      </w:r>
      <w:r w:rsidR="00123D19" w:rsidRPr="00123D19">
        <w:rPr>
          <w:rFonts w:ascii="Helvetica Neue" w:hAnsi="Helvetica Neue" w:cs="Arial"/>
        </w:rPr>
        <w:t>sixty (</w:t>
      </w:r>
      <w:r w:rsidRPr="00123D19">
        <w:rPr>
          <w:rFonts w:ascii="Helvetica Neue" w:hAnsi="Helvetica Neue" w:cs="Arial"/>
        </w:rPr>
        <w:t>60</w:t>
      </w:r>
      <w:r w:rsidR="00123D19" w:rsidRPr="00123D19">
        <w:rPr>
          <w:rFonts w:ascii="Helvetica Neue" w:hAnsi="Helvetica Neue" w:cs="Arial"/>
        </w:rPr>
        <w:t xml:space="preserve">) </w:t>
      </w:r>
      <w:r w:rsidRPr="00123D19">
        <w:rPr>
          <w:rFonts w:ascii="Helvetica Neue" w:hAnsi="Helvetica Neue" w:cs="Arial"/>
        </w:rPr>
        <w:t>month</w:t>
      </w:r>
      <w:r w:rsidRPr="001115C5">
        <w:rPr>
          <w:rFonts w:ascii="Helvetica Neue" w:hAnsi="Helvetica Neue" w:cs="Arial"/>
        </w:rPr>
        <w:t xml:space="preserve"> period, the </w:t>
      </w:r>
      <w:r w:rsidRPr="001115C5">
        <w:rPr>
          <w:rFonts w:ascii="Helvetica Neue" w:hAnsi="Helvetica Neue" w:cs="Arial"/>
          <w:color w:val="FF0000"/>
        </w:rPr>
        <w:t>Department</w:t>
      </w:r>
      <w:r w:rsidRPr="001115C5">
        <w:rPr>
          <w:rFonts w:ascii="Helvetica Neue" w:hAnsi="Helvetica Neue" w:cs="Arial"/>
        </w:rPr>
        <w:t xml:space="preserve"> shall fine the permit holder $500.</w:t>
      </w:r>
    </w:p>
    <w:p w14:paraId="541B3091" w14:textId="3D7DDA46" w:rsidR="00722660" w:rsidRPr="001115C5" w:rsidRDefault="000F5B2C" w:rsidP="00064063">
      <w:pPr>
        <w:pStyle w:val="ListParagraph"/>
        <w:numPr>
          <w:ilvl w:val="1"/>
          <w:numId w:val="21"/>
        </w:numPr>
        <w:spacing w:after="240"/>
        <w:ind w:left="792"/>
        <w:contextualSpacing w:val="0"/>
        <w:rPr>
          <w:rFonts w:ascii="Helvetica Neue" w:hAnsi="Helvetica Neue" w:cs="Arial"/>
        </w:rPr>
      </w:pPr>
      <w:r w:rsidRPr="001115C5">
        <w:rPr>
          <w:rFonts w:ascii="Helvetica Neue" w:hAnsi="Helvetica Neue" w:cs="Arial"/>
        </w:rPr>
        <w:t xml:space="preserve">Upon a second violation of this </w:t>
      </w:r>
      <w:r w:rsidR="008B35D9" w:rsidRPr="001115C5">
        <w:rPr>
          <w:rFonts w:ascii="Helvetica Neue" w:hAnsi="Helvetica Neue" w:cs="Arial"/>
          <w:color w:val="FF0000"/>
        </w:rPr>
        <w:t>[Article/Chapter]</w:t>
      </w:r>
      <w:r w:rsidRPr="001115C5">
        <w:rPr>
          <w:rFonts w:ascii="Helvetica Neue" w:hAnsi="Helvetica Neue" w:cs="Arial"/>
        </w:rPr>
        <w:t xml:space="preserve"> at a location within any </w:t>
      </w:r>
      <w:r w:rsidR="00123D19">
        <w:rPr>
          <w:rFonts w:ascii="Helvetica Neue" w:hAnsi="Helvetica Neue" w:cs="Arial"/>
        </w:rPr>
        <w:t>sixty (</w:t>
      </w:r>
      <w:r w:rsidRPr="001115C5">
        <w:rPr>
          <w:rFonts w:ascii="Helvetica Neue" w:hAnsi="Helvetica Neue" w:cs="Arial"/>
        </w:rPr>
        <w:t>60</w:t>
      </w:r>
      <w:r w:rsidR="00123D19">
        <w:rPr>
          <w:rFonts w:ascii="Helvetica Neue" w:hAnsi="Helvetica Neue" w:cs="Arial"/>
        </w:rPr>
        <w:t xml:space="preserve">) </w:t>
      </w:r>
      <w:r w:rsidRPr="001115C5">
        <w:rPr>
          <w:rFonts w:ascii="Helvetica Neue" w:hAnsi="Helvetica Neue" w:cs="Arial"/>
        </w:rPr>
        <w:t xml:space="preserve">month period, the </w:t>
      </w:r>
      <w:r w:rsidRPr="001115C5">
        <w:rPr>
          <w:rFonts w:ascii="Helvetica Neue" w:hAnsi="Helvetica Neue" w:cs="Arial"/>
          <w:color w:val="FF0000"/>
        </w:rPr>
        <w:t>Department</w:t>
      </w:r>
      <w:r w:rsidRPr="001115C5">
        <w:rPr>
          <w:rFonts w:ascii="Helvetica Neue" w:hAnsi="Helvetica Neue" w:cs="Arial"/>
        </w:rPr>
        <w:t xml:space="preserve"> shall fine permit holder $1,000 and suspend the permit for three business days.</w:t>
      </w:r>
    </w:p>
    <w:p w14:paraId="67A7A34E" w14:textId="42575545" w:rsidR="00722660" w:rsidRPr="001115C5" w:rsidRDefault="000F5B2C" w:rsidP="00064063">
      <w:pPr>
        <w:pStyle w:val="ListParagraph"/>
        <w:numPr>
          <w:ilvl w:val="1"/>
          <w:numId w:val="21"/>
        </w:numPr>
        <w:spacing w:after="240"/>
        <w:ind w:left="792"/>
        <w:contextualSpacing w:val="0"/>
        <w:rPr>
          <w:rFonts w:ascii="Helvetica Neue" w:hAnsi="Helvetica Neue" w:cs="Arial"/>
        </w:rPr>
      </w:pPr>
      <w:r w:rsidRPr="001115C5">
        <w:rPr>
          <w:rFonts w:ascii="Helvetica Neue" w:hAnsi="Helvetica Neue" w:cs="Arial"/>
        </w:rPr>
        <w:t xml:space="preserve">Upon a third violation of this </w:t>
      </w:r>
      <w:r w:rsidR="008B35D9" w:rsidRPr="001115C5">
        <w:rPr>
          <w:rFonts w:ascii="Helvetica Neue" w:hAnsi="Helvetica Neue" w:cs="Arial"/>
          <w:color w:val="FF0000"/>
        </w:rPr>
        <w:t>[Article/Chapter]</w:t>
      </w:r>
      <w:r w:rsidRPr="001115C5">
        <w:rPr>
          <w:rFonts w:ascii="Helvetica Neue" w:hAnsi="Helvetica Neue" w:cs="Arial"/>
        </w:rPr>
        <w:t xml:space="preserve"> at a location within any </w:t>
      </w:r>
      <w:r w:rsidRPr="00123D19">
        <w:rPr>
          <w:rFonts w:ascii="Helvetica Neue" w:hAnsi="Helvetica Neue" w:cs="Arial"/>
        </w:rPr>
        <w:t>sixty</w:t>
      </w:r>
      <w:r w:rsidR="00123D19" w:rsidRPr="00123D19">
        <w:rPr>
          <w:rFonts w:ascii="Helvetica Neue" w:hAnsi="Helvetica Neue" w:cs="Arial"/>
        </w:rPr>
        <w:t xml:space="preserve"> (60) </w:t>
      </w:r>
      <w:r w:rsidRPr="00123D19">
        <w:rPr>
          <w:rFonts w:ascii="Helvetica Neue" w:hAnsi="Helvetica Neue" w:cs="Arial"/>
        </w:rPr>
        <w:t xml:space="preserve">month </w:t>
      </w:r>
      <w:r w:rsidRPr="001115C5">
        <w:rPr>
          <w:rFonts w:ascii="Helvetica Neue" w:hAnsi="Helvetica Neue" w:cs="Arial"/>
        </w:rPr>
        <w:t xml:space="preserve">period, the </w:t>
      </w:r>
      <w:r w:rsidRPr="001115C5">
        <w:rPr>
          <w:rFonts w:ascii="Helvetica Neue" w:hAnsi="Helvetica Neue" w:cs="Arial"/>
          <w:color w:val="FF0000"/>
        </w:rPr>
        <w:t>Department</w:t>
      </w:r>
      <w:r w:rsidRPr="001115C5">
        <w:rPr>
          <w:rFonts w:ascii="Helvetica Neue" w:hAnsi="Helvetica Neue" w:cs="Arial"/>
        </w:rPr>
        <w:t xml:space="preserve"> shall fine the permit holder $1,000 and suspend the permit for </w:t>
      </w:r>
      <w:r w:rsidR="00123D19">
        <w:rPr>
          <w:rFonts w:ascii="Helvetica Neue" w:hAnsi="Helvetica Neue" w:cs="Arial"/>
        </w:rPr>
        <w:t>ten (</w:t>
      </w:r>
      <w:r w:rsidRPr="001115C5">
        <w:rPr>
          <w:rFonts w:ascii="Helvetica Neue" w:hAnsi="Helvetica Neue" w:cs="Arial"/>
        </w:rPr>
        <w:t>10</w:t>
      </w:r>
      <w:r w:rsidR="00123D19">
        <w:rPr>
          <w:rFonts w:ascii="Helvetica Neue" w:hAnsi="Helvetica Neue" w:cs="Arial"/>
        </w:rPr>
        <w:t xml:space="preserve">) </w:t>
      </w:r>
      <w:r w:rsidRPr="001115C5">
        <w:rPr>
          <w:rFonts w:ascii="Helvetica Neue" w:hAnsi="Helvetica Neue" w:cs="Arial"/>
        </w:rPr>
        <w:t>business days.</w:t>
      </w:r>
    </w:p>
    <w:p w14:paraId="12E182C4" w14:textId="037D27F0" w:rsidR="00722660" w:rsidRPr="001115C5" w:rsidRDefault="000F5B2C" w:rsidP="00064063">
      <w:pPr>
        <w:pStyle w:val="ListParagraph"/>
        <w:numPr>
          <w:ilvl w:val="1"/>
          <w:numId w:val="21"/>
        </w:numPr>
        <w:spacing w:after="240"/>
        <w:ind w:left="792"/>
        <w:contextualSpacing w:val="0"/>
        <w:rPr>
          <w:rFonts w:ascii="Helvetica Neue" w:hAnsi="Helvetica Neue" w:cs="Arial"/>
        </w:rPr>
      </w:pPr>
      <w:r w:rsidRPr="001115C5">
        <w:rPr>
          <w:rFonts w:ascii="Helvetica Neue" w:hAnsi="Helvetica Neue" w:cs="Arial"/>
        </w:rPr>
        <w:t xml:space="preserve">Upon four or more violations of this </w:t>
      </w:r>
      <w:r w:rsidR="008B35D9" w:rsidRPr="001115C5">
        <w:rPr>
          <w:rFonts w:ascii="Helvetica Neue" w:hAnsi="Helvetica Neue" w:cs="Arial"/>
          <w:color w:val="FF0000"/>
        </w:rPr>
        <w:t>[Article/Chapter]</w:t>
      </w:r>
      <w:r w:rsidRPr="001115C5">
        <w:rPr>
          <w:rFonts w:ascii="Helvetica Neue" w:hAnsi="Helvetica Neue" w:cs="Arial"/>
        </w:rPr>
        <w:t xml:space="preserve"> at a location within any sixty</w:t>
      </w:r>
      <w:r w:rsidR="00123D19">
        <w:rPr>
          <w:rFonts w:ascii="Helvetica Neue" w:hAnsi="Helvetica Neue" w:cs="Arial"/>
        </w:rPr>
        <w:t xml:space="preserve"> (60) </w:t>
      </w:r>
      <w:r w:rsidRPr="001115C5">
        <w:rPr>
          <w:rFonts w:ascii="Helvetica Neue" w:hAnsi="Helvetica Neue" w:cs="Arial"/>
        </w:rPr>
        <w:t xml:space="preserve">month) period, the </w:t>
      </w:r>
      <w:r w:rsidRPr="001115C5">
        <w:rPr>
          <w:rFonts w:ascii="Helvetica Neue" w:hAnsi="Helvetica Neue" w:cs="Arial"/>
          <w:color w:val="FF0000"/>
        </w:rPr>
        <w:t>Department</w:t>
      </w:r>
      <w:r w:rsidRPr="001115C5">
        <w:rPr>
          <w:rFonts w:ascii="Helvetica Neue" w:hAnsi="Helvetica Neue" w:cs="Arial"/>
        </w:rPr>
        <w:t xml:space="preserve"> shall fine the permit holder $1,000 per violation and suspend the permit for </w:t>
      </w:r>
      <w:r w:rsidR="00123D19" w:rsidRPr="00123D19">
        <w:rPr>
          <w:rFonts w:ascii="Helvetica Neue" w:hAnsi="Helvetica Neue" w:cs="Arial"/>
        </w:rPr>
        <w:t>thirty (</w:t>
      </w:r>
      <w:r w:rsidRPr="00123D19">
        <w:rPr>
          <w:rFonts w:ascii="Helvetica Neue" w:hAnsi="Helvetica Neue" w:cs="Arial"/>
        </w:rPr>
        <w:t>30</w:t>
      </w:r>
      <w:r w:rsidR="00123D19" w:rsidRPr="00123D19">
        <w:rPr>
          <w:rFonts w:ascii="Helvetica Neue" w:hAnsi="Helvetica Neue" w:cs="Arial"/>
        </w:rPr>
        <w:t>)</w:t>
      </w:r>
      <w:r w:rsidRPr="001115C5">
        <w:rPr>
          <w:rFonts w:ascii="Helvetica Neue" w:hAnsi="Helvetica Neue" w:cs="Arial"/>
        </w:rPr>
        <w:t xml:space="preserve"> business days.</w:t>
      </w:r>
    </w:p>
    <w:p w14:paraId="3338DDCD" w14:textId="7E05BAF7" w:rsidR="000F5B2C" w:rsidRDefault="000F5B2C" w:rsidP="00064063">
      <w:pPr>
        <w:pStyle w:val="ListParagraph"/>
        <w:numPr>
          <w:ilvl w:val="1"/>
          <w:numId w:val="21"/>
        </w:numPr>
        <w:spacing w:after="240"/>
        <w:ind w:left="792"/>
        <w:contextualSpacing w:val="0"/>
        <w:rPr>
          <w:rFonts w:ascii="Helvetica Neue" w:hAnsi="Helvetica Neue" w:cs="Arial"/>
        </w:rPr>
      </w:pPr>
      <w:r w:rsidRPr="001115C5">
        <w:rPr>
          <w:rFonts w:ascii="Helvetica Neue" w:hAnsi="Helvetica Neue" w:cs="Arial"/>
        </w:rPr>
        <w:t xml:space="preserve">Upon five or more violations of this </w:t>
      </w:r>
      <w:r w:rsidR="008B35D9" w:rsidRPr="001115C5">
        <w:rPr>
          <w:rFonts w:ascii="Helvetica Neue" w:hAnsi="Helvetica Neue" w:cs="Arial"/>
          <w:color w:val="FF0000"/>
        </w:rPr>
        <w:t>[Article/Chapter]</w:t>
      </w:r>
      <w:r w:rsidRPr="001115C5">
        <w:rPr>
          <w:rFonts w:ascii="Helvetica Neue" w:hAnsi="Helvetica Neue" w:cs="Arial"/>
        </w:rPr>
        <w:t xml:space="preserve"> at a location within any sixty</w:t>
      </w:r>
      <w:r w:rsidR="00123D19">
        <w:rPr>
          <w:rFonts w:ascii="Helvetica Neue" w:hAnsi="Helvetica Neue" w:cs="Arial"/>
        </w:rPr>
        <w:t xml:space="preserve"> (60) </w:t>
      </w:r>
      <w:r w:rsidRPr="001115C5">
        <w:rPr>
          <w:rFonts w:ascii="Helvetica Neue" w:hAnsi="Helvetica Neue" w:cs="Arial"/>
        </w:rPr>
        <w:t xml:space="preserve">month period, the </w:t>
      </w:r>
      <w:r w:rsidRPr="001115C5">
        <w:rPr>
          <w:rFonts w:ascii="Helvetica Neue" w:hAnsi="Helvetica Neue" w:cs="Arial"/>
          <w:color w:val="FF0000"/>
        </w:rPr>
        <w:t>Department</w:t>
      </w:r>
      <w:r w:rsidRPr="001115C5">
        <w:rPr>
          <w:rFonts w:ascii="Helvetica Neue" w:hAnsi="Helvetica Neue" w:cs="Arial"/>
        </w:rPr>
        <w:t xml:space="preserve"> shall revoke the permit.</w:t>
      </w:r>
    </w:p>
    <w:p w14:paraId="3CE29B41" w14:textId="00E36BA9" w:rsidR="00CE4BA1" w:rsidRPr="00CE4BA1" w:rsidRDefault="00CE4BA1" w:rsidP="00CE4BA1">
      <w:pPr>
        <w:pStyle w:val="ListParagraph"/>
        <w:numPr>
          <w:ilvl w:val="1"/>
          <w:numId w:val="21"/>
        </w:numPr>
        <w:spacing w:before="480" w:after="240"/>
        <w:ind w:left="810"/>
        <w:rPr>
          <w:rFonts w:ascii="Helvetica Neue" w:hAnsi="Helvetica Neue" w:cs="Arial"/>
        </w:rPr>
      </w:pPr>
      <w:r w:rsidRPr="00CE4BA1">
        <w:rPr>
          <w:rFonts w:ascii="Helvetica Neue" w:hAnsi="Helvetica Neue" w:cs="Arial"/>
        </w:rPr>
        <w:t xml:space="preserve">Any violation of this </w:t>
      </w:r>
      <w:r w:rsidRPr="00CE4BA1">
        <w:rPr>
          <w:rFonts w:ascii="Helvetica Neue" w:hAnsi="Helvetica Neue" w:cs="Arial"/>
          <w:color w:val="FF0000"/>
        </w:rPr>
        <w:t>[Article/Chapter]</w:t>
      </w:r>
      <w:r w:rsidRPr="00CE4BA1">
        <w:rPr>
          <w:rFonts w:ascii="Helvetica Neue" w:hAnsi="Helvetica Neue" w:cs="Arial"/>
        </w:rPr>
        <w:t xml:space="preserve"> may be subject to the penalties provided in this subdivision and each day on which a violation occurs or is suffered to continue shall constate a separate violation.</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0F5B2C" w:rsidRPr="001115C5" w14:paraId="17AA1DA2" w14:textId="77777777" w:rsidTr="00895773">
        <w:tc>
          <w:tcPr>
            <w:tcW w:w="10188" w:type="dxa"/>
            <w:shd w:val="clear" w:color="auto" w:fill="D9D9D9" w:themeFill="background1" w:themeFillShade="D9"/>
          </w:tcPr>
          <w:p w14:paraId="793B5B89" w14:textId="752B2E77" w:rsidR="000F5B2C" w:rsidRPr="001115C5" w:rsidRDefault="000F5B2C" w:rsidP="000F5B2C">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xml:space="preserve">: This provision designates the length for permit suspensions under subsection (1). Stronger or more lenient penalties may be provided as a matter of local policy. For example, if a jurisdiction requires that Cannabis Retailers sell only Cannabis Products and Accessories, as recommended, a suspension of the retailer’s permit will have a greater impact on the business than on a business that can continue to sell other products. The Department can fine one violation or many that occur at a given time as necessary to induct compliance with this chapter. It does not have to fine every violation it can provide, but it does have to revoke a license upon a fifth violation of this </w:t>
            </w:r>
            <w:r w:rsidR="008B35D9" w:rsidRPr="001115C5">
              <w:rPr>
                <w:rFonts w:ascii="Helvetica Neue" w:eastAsia="Helvetica Neue" w:hAnsi="Helvetica Neue" w:cs="Arial"/>
              </w:rPr>
              <w:t>[Article/Chapter]</w:t>
            </w:r>
            <w:r w:rsidRPr="001115C5">
              <w:rPr>
                <w:rFonts w:ascii="Helvetica Neue" w:eastAsia="Helvetica Neue" w:hAnsi="Helvetica Neue" w:cs="Arial"/>
              </w:rPr>
              <w:t>.</w:t>
            </w:r>
          </w:p>
          <w:p w14:paraId="267CAA9D" w14:textId="75339AB7" w:rsidR="000F5B2C" w:rsidRPr="001115C5" w:rsidRDefault="000F5B2C" w:rsidP="000F5B2C">
            <w:pPr>
              <w:spacing w:before="120" w:after="120" w:line="360" w:lineRule="auto"/>
              <w:rPr>
                <w:rFonts w:ascii="Helvetica Neue" w:eastAsia="Helvetica Neue" w:hAnsi="Helvetica Neue" w:cs="Arial"/>
              </w:rPr>
            </w:pPr>
            <w:r w:rsidRPr="001115C5">
              <w:rPr>
                <w:rFonts w:ascii="Helvetica Neue" w:eastAsia="Helvetica Neue" w:hAnsi="Helvetica Neue" w:cs="Arial"/>
              </w:rPr>
              <w:lastRenderedPageBreak/>
              <w:t>By providing mandatory penalties, this model does not provide any discretion to enforcement staff. This lack of discretion makes for a simple ordinance and standardized, even-handed enforcement. If discretion with respect to penalties is desired, the ordinance must state the standard by which that discretion is to be exercised (e.g., financial hardship, history of compliance, etc.). Note, too, that these penalty provisions do not prevent the use of other legal tools, such as criminal prosecution or the several judicial remedies discussed below.</w:t>
            </w:r>
          </w:p>
        </w:tc>
      </w:tr>
    </w:tbl>
    <w:p w14:paraId="4A9E1B54" w14:textId="17D89B3E" w:rsidR="000F5B2C" w:rsidRPr="001115C5" w:rsidRDefault="000F5B2C" w:rsidP="00064063">
      <w:pPr>
        <w:pStyle w:val="ListParagraph"/>
        <w:numPr>
          <w:ilvl w:val="0"/>
          <w:numId w:val="21"/>
        </w:numPr>
        <w:spacing w:before="360" w:after="240"/>
        <w:ind w:left="360"/>
        <w:rPr>
          <w:rFonts w:ascii="Helvetica Neue" w:hAnsi="Helvetica Neue" w:cs="Arial"/>
        </w:rPr>
      </w:pPr>
      <w:r w:rsidRPr="001115C5">
        <w:rPr>
          <w:rFonts w:ascii="Helvetica Neue" w:hAnsi="Helvetica Neue" w:cs="Arial"/>
          <w:b/>
          <w:bCs/>
        </w:rPr>
        <w:lastRenderedPageBreak/>
        <w:t>Appeal of Suspension or Revocation</w:t>
      </w:r>
      <w:r w:rsidRPr="001115C5">
        <w:rPr>
          <w:rFonts w:ascii="Helvetica Neue" w:hAnsi="Helvetica Neue" w:cs="Arial"/>
        </w:rPr>
        <w:t xml:space="preserve">. The </w:t>
      </w:r>
      <w:r w:rsidRPr="001115C5">
        <w:rPr>
          <w:rFonts w:ascii="Helvetica Neue" w:hAnsi="Helvetica Neue" w:cs="Arial"/>
          <w:color w:val="FF0000"/>
        </w:rPr>
        <w:t>Department’s</w:t>
      </w:r>
      <w:r w:rsidRPr="001115C5">
        <w:rPr>
          <w:rFonts w:ascii="Helvetica Neue" w:hAnsi="Helvetica Neue" w:cs="Arial"/>
        </w:rPr>
        <w:t xml:space="preserve"> decision to suspend or revoke a Conditional Use Permit is appealable to </w:t>
      </w:r>
      <w:r w:rsidRPr="001115C5">
        <w:rPr>
          <w:rFonts w:ascii="Helvetica Neue" w:hAnsi="Helvetica Neue" w:cs="Arial"/>
          <w:color w:val="FF0000"/>
        </w:rPr>
        <w:t>[the name of appellate agency, panel, or person (e.g., Board of Appeals, Planning Commission, City Council, Board of Supervisors, director of the health department]</w:t>
      </w:r>
      <w:r w:rsidRPr="001115C5">
        <w:rPr>
          <w:rFonts w:ascii="Helvetica Neue" w:hAnsi="Helvetica Neue" w:cs="Arial"/>
        </w:rPr>
        <w:t xml:space="preserve"> and any appeal must be filed in writing with </w:t>
      </w:r>
      <w:r w:rsidRPr="001115C5">
        <w:rPr>
          <w:rFonts w:ascii="Helvetica Neue" w:hAnsi="Helvetica Neue" w:cs="Arial"/>
          <w:color w:val="FF0000"/>
        </w:rPr>
        <w:t xml:space="preserve">[the name of the agency, panel, or person to receive the notice (e.g., City Clerk or Clerk of the Board of Supervisors)] </w:t>
      </w:r>
      <w:r w:rsidRPr="001115C5">
        <w:rPr>
          <w:rFonts w:ascii="Helvetica Neue" w:hAnsi="Helvetica Neue" w:cs="Arial"/>
        </w:rPr>
        <w:t xml:space="preserve">within 10 days of mailing of the </w:t>
      </w:r>
      <w:r w:rsidRPr="001115C5">
        <w:rPr>
          <w:rFonts w:ascii="Helvetica Neue" w:hAnsi="Helvetica Neue" w:cs="Arial"/>
          <w:color w:val="FF0000"/>
        </w:rPr>
        <w:t>Department’s</w:t>
      </w:r>
      <w:r w:rsidRPr="001115C5">
        <w:rPr>
          <w:rFonts w:ascii="Helvetica Neue" w:hAnsi="Helvetica Neue" w:cs="Arial"/>
        </w:rPr>
        <w:t xml:space="preserve"> decision. A timely appeal shall stay the action appealed. No appeal is available for a revocation pursuant to subsection (4) below.</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CD7D11" w:rsidRPr="001115C5" w14:paraId="6599F96A" w14:textId="77777777" w:rsidTr="00895773">
        <w:tc>
          <w:tcPr>
            <w:tcW w:w="10188" w:type="dxa"/>
            <w:shd w:val="clear" w:color="auto" w:fill="D9D9D9" w:themeFill="background1" w:themeFillShade="D9"/>
          </w:tcPr>
          <w:p w14:paraId="54413BA5" w14:textId="6C59D532" w:rsidR="00CD7D11" w:rsidRPr="001115C5" w:rsidRDefault="00CD7D11" w:rsidP="00CD7D11">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Some appeal right should be provided to ensure due process and to permit the city or county to correct any errors that may occur in the administrative process. How many levels of appeal to permit, which officer or body should hear the appeal, which officer should receive the notice of appeal, the time limits to set, etc. are local policy questions. Local governments would do well to trigger the 90-day statute of limitations for legal challenges by complying with the notice requirements of California Code of Civil Procedure section 1094.6(f) in making and giving notice of determinations under this ordinance.</w:t>
            </w:r>
          </w:p>
        </w:tc>
      </w:tr>
    </w:tbl>
    <w:p w14:paraId="0879AC03" w14:textId="45A20BA7" w:rsidR="00C91C45" w:rsidRPr="001115C5" w:rsidRDefault="00C91C45" w:rsidP="00064063">
      <w:pPr>
        <w:pStyle w:val="ListParagraph"/>
        <w:numPr>
          <w:ilvl w:val="0"/>
          <w:numId w:val="21"/>
        </w:numPr>
        <w:spacing w:before="480" w:after="240"/>
        <w:ind w:left="360"/>
        <w:rPr>
          <w:rFonts w:ascii="Helvetica Neue" w:hAnsi="Helvetica Neue" w:cs="Arial"/>
        </w:rPr>
      </w:pPr>
      <w:r w:rsidRPr="001115C5">
        <w:rPr>
          <w:rFonts w:ascii="Helvetica Neue" w:hAnsi="Helvetica Neue" w:cs="Arial"/>
          <w:b/>
          <w:bCs/>
        </w:rPr>
        <w:t>Revocation of Permit Wrongly Issue</w:t>
      </w:r>
      <w:r w:rsidR="00FC5586">
        <w:rPr>
          <w:rFonts w:ascii="Helvetica Neue" w:hAnsi="Helvetica Neue" w:cs="Arial"/>
          <w:b/>
          <w:bCs/>
        </w:rPr>
        <w:t>d</w:t>
      </w:r>
      <w:r w:rsidRPr="001115C5">
        <w:rPr>
          <w:rFonts w:ascii="Helvetica Neue" w:hAnsi="Helvetica Neue" w:cs="Arial"/>
        </w:rPr>
        <w:t xml:space="preserve">. A Conditional Use Permit and </w:t>
      </w:r>
      <w:r w:rsidRPr="00FC5586">
        <w:rPr>
          <w:rFonts w:ascii="Helvetica Neue" w:hAnsi="Helvetica Neue" w:cs="Arial"/>
          <w:color w:val="FF0000"/>
        </w:rPr>
        <w:t xml:space="preserve">[Cannabis Retailing operators permit] </w:t>
      </w:r>
      <w:r w:rsidRPr="001115C5">
        <w:rPr>
          <w:rFonts w:ascii="Helvetica Neue" w:hAnsi="Helvetica Neue" w:cs="Arial"/>
        </w:rPr>
        <w:t xml:space="preserve">shall be revoked if the </w:t>
      </w:r>
      <w:r w:rsidRPr="001115C5">
        <w:rPr>
          <w:rFonts w:ascii="Helvetica Neue" w:hAnsi="Helvetica Neue" w:cs="Arial"/>
          <w:color w:val="FF0000"/>
        </w:rPr>
        <w:t>Department</w:t>
      </w:r>
      <w:r w:rsidRPr="001115C5">
        <w:rPr>
          <w:rFonts w:ascii="Helvetica Neue" w:hAnsi="Helvetica Neue" w:cs="Arial"/>
        </w:rPr>
        <w:t xml:space="preserve"> finds, after the permit holder is afforded notice and an opportunity to be heard, that one or more of the bases for denial of a permit under </w:t>
      </w:r>
      <w:r w:rsidR="00FC5586">
        <w:rPr>
          <w:rFonts w:ascii="Helvetica Neue" w:hAnsi="Helvetica Neue" w:cs="Arial"/>
        </w:rPr>
        <w:t>subs</w:t>
      </w:r>
      <w:r w:rsidRPr="001115C5">
        <w:rPr>
          <w:rFonts w:ascii="Helvetica Neue" w:hAnsi="Helvetica Neue" w:cs="Arial"/>
        </w:rPr>
        <w:t xml:space="preserve">ection </w:t>
      </w:r>
      <w:r w:rsidR="00FC5586">
        <w:rPr>
          <w:rFonts w:ascii="Helvetica Neue" w:hAnsi="Helvetica Neue" w:cs="Arial"/>
        </w:rPr>
        <w:t>(</w:t>
      </w:r>
      <w:r w:rsidRPr="001115C5">
        <w:rPr>
          <w:rFonts w:ascii="Helvetica Neue" w:hAnsi="Helvetica Neue" w:cs="Arial"/>
        </w:rPr>
        <w:t>8</w:t>
      </w:r>
      <w:r w:rsidR="00FC5586">
        <w:rPr>
          <w:rFonts w:ascii="Helvetica Neue" w:hAnsi="Helvetica Neue" w:cs="Arial"/>
        </w:rPr>
        <w:t>)</w:t>
      </w:r>
      <w:r w:rsidRPr="001115C5">
        <w:rPr>
          <w:rFonts w:ascii="Helvetica Neue" w:hAnsi="Helvetica Neue" w:cs="Arial"/>
        </w:rPr>
        <w:t xml:space="preserve"> existed at the time application was made or at any time before the permit was issued. The decision by the </w:t>
      </w:r>
      <w:r w:rsidRPr="001115C5">
        <w:rPr>
          <w:rFonts w:ascii="Helvetica Neue" w:hAnsi="Helvetica Neue" w:cs="Arial"/>
          <w:color w:val="FF0000"/>
        </w:rPr>
        <w:t>Department</w:t>
      </w:r>
      <w:r w:rsidRPr="001115C5">
        <w:rPr>
          <w:rFonts w:ascii="Helvetica Neue" w:hAnsi="Helvetica Neue" w:cs="Arial"/>
        </w:rPr>
        <w:t xml:space="preserve"> shall be the final decision of the </w:t>
      </w:r>
      <w:r w:rsidR="008B35D9" w:rsidRPr="001115C5">
        <w:rPr>
          <w:rFonts w:ascii="Helvetica Neue" w:hAnsi="Helvetica Neue" w:cs="Arial"/>
          <w:color w:val="FF0000"/>
        </w:rPr>
        <w:t>[City/County]</w:t>
      </w:r>
      <w:r w:rsidRPr="001115C5">
        <w:rPr>
          <w:rFonts w:ascii="Helvetica Neue" w:hAnsi="Helvetica Neue" w:cs="Arial"/>
        </w:rPr>
        <w:t>. Such a revocation shall be without prejudice to the filing of a new permit application and is subject to judicial review pursuant to section 1094.5 of the California Code of Civil Procedure.</w:t>
      </w:r>
    </w:p>
    <w:p w14:paraId="31AFAABF" w14:textId="36C3F25D" w:rsidR="00C91C45" w:rsidRPr="001115C5" w:rsidRDefault="00C91C45" w:rsidP="007E2800">
      <w:pPr>
        <w:pStyle w:val="Heading3"/>
        <w:spacing w:before="480" w:after="240"/>
        <w:rPr>
          <w:rFonts w:ascii="Helvetica Neue" w:hAnsi="Helvetica Neue"/>
        </w:rPr>
      </w:pPr>
      <w:bookmarkStart w:id="22" w:name="_Toc65578307"/>
      <w:r w:rsidRPr="001115C5">
        <w:rPr>
          <w:rFonts w:ascii="Helvetica Neue" w:hAnsi="Helvetica Neue"/>
        </w:rPr>
        <w:lastRenderedPageBreak/>
        <w:t>Section O. CANNABIS RETAILING WITHOUT A VALID PERMIT</w:t>
      </w:r>
      <w:bookmarkEnd w:id="22"/>
    </w:p>
    <w:p w14:paraId="34753FE4" w14:textId="77777777" w:rsidR="007E2800" w:rsidRPr="001115C5" w:rsidRDefault="00C91C45" w:rsidP="00064063">
      <w:pPr>
        <w:pStyle w:val="ListParagraph"/>
        <w:numPr>
          <w:ilvl w:val="0"/>
          <w:numId w:val="22"/>
        </w:numPr>
        <w:spacing w:before="240" w:after="240"/>
        <w:ind w:left="360"/>
        <w:contextualSpacing w:val="0"/>
        <w:rPr>
          <w:rFonts w:ascii="Helvetica Neue" w:hAnsi="Helvetica Neue" w:cs="Arial"/>
        </w:rPr>
      </w:pPr>
      <w:r w:rsidRPr="001115C5">
        <w:rPr>
          <w:rFonts w:ascii="Helvetica Neue" w:hAnsi="Helvetica Neue" w:cs="Arial"/>
        </w:rPr>
        <w:t xml:space="preserve">In addition to any other penalty authorized by law, if the </w:t>
      </w:r>
      <w:r w:rsidRPr="001115C5">
        <w:rPr>
          <w:rFonts w:ascii="Helvetica Neue" w:hAnsi="Helvetica Neue" w:cs="Arial"/>
          <w:color w:val="FF0000"/>
        </w:rPr>
        <w:t>Department</w:t>
      </w:r>
      <w:r w:rsidRPr="001115C5">
        <w:rPr>
          <w:rFonts w:ascii="Helvetica Neue" w:hAnsi="Helvetica Neue" w:cs="Arial"/>
        </w:rPr>
        <w:t xml:space="preserve"> finds based on a preponderance of evidence, after notice and an opportunity to be heard, that any Person</w:t>
      </w:r>
      <w:r w:rsidR="00895773" w:rsidRPr="001115C5">
        <w:rPr>
          <w:rFonts w:ascii="Helvetica Neue" w:hAnsi="Helvetica Neue" w:cs="Arial"/>
        </w:rPr>
        <w:t xml:space="preserve"> </w:t>
      </w:r>
      <w:r w:rsidRPr="001115C5">
        <w:rPr>
          <w:rFonts w:ascii="Helvetica Neue" w:hAnsi="Helvetica Neue" w:cs="Arial"/>
        </w:rPr>
        <w:t xml:space="preserve">issued a conditional use permit under this </w:t>
      </w:r>
      <w:r w:rsidR="008B35D9" w:rsidRPr="001115C5">
        <w:rPr>
          <w:rFonts w:ascii="Helvetica Neue" w:hAnsi="Helvetica Neue" w:cs="Arial"/>
          <w:color w:val="FF0000"/>
        </w:rPr>
        <w:t>[Article/Chapter]</w:t>
      </w:r>
      <w:r w:rsidRPr="001115C5">
        <w:rPr>
          <w:rFonts w:ascii="Helvetica Neue" w:hAnsi="Helvetica Neue" w:cs="Arial"/>
        </w:rPr>
        <w:t xml:space="preserve"> has engaged in Cannabis Retailing at a location not identified in a valid conditional use permit issued under this </w:t>
      </w:r>
      <w:r w:rsidR="008B35D9" w:rsidRPr="001115C5">
        <w:rPr>
          <w:rFonts w:ascii="Helvetica Neue" w:hAnsi="Helvetica Neue" w:cs="Arial"/>
          <w:color w:val="FF0000"/>
        </w:rPr>
        <w:t>[Article/Chapter]</w:t>
      </w:r>
      <w:r w:rsidRPr="001115C5">
        <w:rPr>
          <w:rFonts w:ascii="Helvetica Neue" w:hAnsi="Helvetica Neue" w:cs="Arial"/>
        </w:rPr>
        <w:t>, either directly or through agents or employees, that Person shall be ineligible to apply for, or to be issued, a Cannabis Retailer’s permit as follows:</w:t>
      </w:r>
    </w:p>
    <w:p w14:paraId="00EE38C7" w14:textId="4BDC1146" w:rsidR="007E2800" w:rsidRPr="001115C5" w:rsidRDefault="00C91C45" w:rsidP="00064063">
      <w:pPr>
        <w:pStyle w:val="ListParagraph"/>
        <w:numPr>
          <w:ilvl w:val="1"/>
          <w:numId w:val="22"/>
        </w:numPr>
        <w:spacing w:after="240"/>
        <w:ind w:left="792"/>
        <w:contextualSpacing w:val="0"/>
        <w:rPr>
          <w:rFonts w:ascii="Helvetica Neue" w:hAnsi="Helvetica Neue" w:cs="Arial"/>
        </w:rPr>
      </w:pPr>
      <w:r w:rsidRPr="001115C5">
        <w:rPr>
          <w:rFonts w:ascii="Helvetica Neue" w:hAnsi="Helvetica Neue" w:cs="Arial"/>
        </w:rPr>
        <w:t xml:space="preserve">After a first violation of this section at a location within any </w:t>
      </w:r>
      <w:r w:rsidR="00123D19">
        <w:rPr>
          <w:rFonts w:ascii="Helvetica Neue" w:hAnsi="Helvetica Neue" w:cs="Arial"/>
        </w:rPr>
        <w:t>sixty (</w:t>
      </w:r>
      <w:r w:rsidRPr="001115C5">
        <w:rPr>
          <w:rFonts w:ascii="Helvetica Neue" w:hAnsi="Helvetica Neue" w:cs="Arial"/>
        </w:rPr>
        <w:t>60</w:t>
      </w:r>
      <w:r w:rsidR="00123D19">
        <w:rPr>
          <w:rFonts w:ascii="Helvetica Neue" w:hAnsi="Helvetica Neue" w:cs="Arial"/>
        </w:rPr>
        <w:t xml:space="preserve">) </w:t>
      </w:r>
      <w:r w:rsidRPr="001115C5">
        <w:rPr>
          <w:rFonts w:ascii="Helvetica Neue" w:hAnsi="Helvetica Neue" w:cs="Arial"/>
        </w:rPr>
        <w:t>month period, no new permit may issue for the Person or the location (unless ownership of the business at the location has been transferred in an Arm’s Length Transaction), until 90 days have passed from the date of the violation.</w:t>
      </w:r>
    </w:p>
    <w:p w14:paraId="1DA32410" w14:textId="13CAF5A1" w:rsidR="007E2800" w:rsidRPr="001115C5" w:rsidRDefault="00C91C45" w:rsidP="00064063">
      <w:pPr>
        <w:pStyle w:val="ListParagraph"/>
        <w:numPr>
          <w:ilvl w:val="1"/>
          <w:numId w:val="22"/>
        </w:numPr>
        <w:spacing w:after="240"/>
        <w:ind w:left="792"/>
        <w:contextualSpacing w:val="0"/>
        <w:rPr>
          <w:rFonts w:ascii="Helvetica Neue" w:hAnsi="Helvetica Neue" w:cs="Arial"/>
        </w:rPr>
      </w:pPr>
      <w:r w:rsidRPr="001115C5">
        <w:rPr>
          <w:rFonts w:ascii="Helvetica Neue" w:hAnsi="Helvetica Neue" w:cs="Arial"/>
        </w:rPr>
        <w:t xml:space="preserve">After a second violation of this section at a location within any </w:t>
      </w:r>
      <w:r w:rsidR="00123D19">
        <w:rPr>
          <w:rFonts w:ascii="Helvetica Neue" w:hAnsi="Helvetica Neue" w:cs="Arial"/>
        </w:rPr>
        <w:t xml:space="preserve">sixty (60) </w:t>
      </w:r>
      <w:r w:rsidRPr="001115C5">
        <w:rPr>
          <w:rFonts w:ascii="Helvetica Neue" w:hAnsi="Helvetica Neue" w:cs="Arial"/>
        </w:rPr>
        <w:t xml:space="preserve">month period, no new permit may issue for the Person or the location (unless ownership of the business at the location has been transferred in an Arm’s Length Transaction), until </w:t>
      </w:r>
      <w:r w:rsidR="00123D19">
        <w:rPr>
          <w:rFonts w:ascii="Helvetica Neue" w:hAnsi="Helvetica Neue" w:cs="Arial"/>
        </w:rPr>
        <w:t>one hundred and eighty (</w:t>
      </w:r>
      <w:r w:rsidRPr="001115C5">
        <w:rPr>
          <w:rFonts w:ascii="Helvetica Neue" w:hAnsi="Helvetica Neue" w:cs="Arial"/>
        </w:rPr>
        <w:t>180</w:t>
      </w:r>
      <w:r w:rsidR="00123D19">
        <w:rPr>
          <w:rFonts w:ascii="Helvetica Neue" w:hAnsi="Helvetica Neue" w:cs="Arial"/>
        </w:rPr>
        <w:t>)</w:t>
      </w:r>
      <w:r w:rsidRPr="001115C5">
        <w:rPr>
          <w:rFonts w:ascii="Helvetica Neue" w:hAnsi="Helvetica Neue" w:cs="Arial"/>
        </w:rPr>
        <w:t xml:space="preserve"> days have passed from the date of the violation.</w:t>
      </w:r>
    </w:p>
    <w:p w14:paraId="0D6A43DA" w14:textId="699675E0" w:rsidR="007E2800" w:rsidRPr="001115C5" w:rsidRDefault="00C91C45" w:rsidP="00064063">
      <w:pPr>
        <w:pStyle w:val="ListParagraph"/>
        <w:numPr>
          <w:ilvl w:val="1"/>
          <w:numId w:val="22"/>
        </w:numPr>
        <w:spacing w:after="240"/>
        <w:ind w:left="792"/>
        <w:contextualSpacing w:val="0"/>
        <w:rPr>
          <w:rFonts w:ascii="Helvetica Neue" w:hAnsi="Helvetica Neue" w:cs="Arial"/>
        </w:rPr>
      </w:pPr>
      <w:r w:rsidRPr="001115C5">
        <w:rPr>
          <w:rFonts w:ascii="Helvetica Neue" w:hAnsi="Helvetica Neue" w:cs="Arial"/>
        </w:rPr>
        <w:t xml:space="preserve">After a third violation of this section at a location within any </w:t>
      </w:r>
      <w:r w:rsidR="00123D19">
        <w:rPr>
          <w:rFonts w:ascii="Helvetica Neue" w:hAnsi="Helvetica Neue" w:cs="Arial"/>
        </w:rPr>
        <w:t>sixty (</w:t>
      </w:r>
      <w:r w:rsidRPr="001115C5">
        <w:rPr>
          <w:rFonts w:ascii="Helvetica Neue" w:hAnsi="Helvetica Neue" w:cs="Arial"/>
        </w:rPr>
        <w:t>60</w:t>
      </w:r>
      <w:r w:rsidR="00123D19">
        <w:rPr>
          <w:rFonts w:ascii="Helvetica Neue" w:hAnsi="Helvetica Neue" w:cs="Arial"/>
        </w:rPr>
        <w:t xml:space="preserve">) </w:t>
      </w:r>
      <w:r w:rsidRPr="001115C5">
        <w:rPr>
          <w:rFonts w:ascii="Helvetica Neue" w:hAnsi="Helvetica Neue" w:cs="Arial"/>
        </w:rPr>
        <w:t>month period, no new permit may issue for the Person or the location (unless ownership of the business at the location has been transferred in an Arm’s Length Transaction) until a year has passed from the date of the violation.</w:t>
      </w:r>
    </w:p>
    <w:p w14:paraId="3407F2AA" w14:textId="1296C1BB" w:rsidR="00CD7D11" w:rsidRPr="001115C5" w:rsidRDefault="00C91C45" w:rsidP="00064063">
      <w:pPr>
        <w:pStyle w:val="ListParagraph"/>
        <w:numPr>
          <w:ilvl w:val="1"/>
          <w:numId w:val="22"/>
        </w:numPr>
        <w:spacing w:after="240"/>
        <w:ind w:left="792"/>
        <w:contextualSpacing w:val="0"/>
        <w:rPr>
          <w:rFonts w:ascii="Helvetica Neue" w:hAnsi="Helvetica Neue" w:cs="Arial"/>
        </w:rPr>
      </w:pPr>
      <w:r w:rsidRPr="001115C5">
        <w:rPr>
          <w:rFonts w:ascii="Helvetica Neue" w:hAnsi="Helvetica Neue" w:cs="Arial"/>
        </w:rPr>
        <w:t xml:space="preserve">After of a fourth or subsequent violation of this section at a location within any </w:t>
      </w:r>
      <w:r w:rsidR="00123D19">
        <w:rPr>
          <w:rFonts w:ascii="Helvetica Neue" w:hAnsi="Helvetica Neue" w:cs="Arial"/>
        </w:rPr>
        <w:t>sixty (60) m</w:t>
      </w:r>
      <w:r w:rsidRPr="001115C5">
        <w:rPr>
          <w:rFonts w:ascii="Helvetica Neue" w:hAnsi="Helvetica Neue" w:cs="Arial"/>
        </w:rPr>
        <w:t>onth period, no new permit may issue for the Person or the location (unless ownership of the business at the location has been transferred in an Arm’s Length Transaction).</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C91C45" w:rsidRPr="001115C5" w14:paraId="07501625" w14:textId="77777777" w:rsidTr="00895773">
        <w:tc>
          <w:tcPr>
            <w:tcW w:w="10188" w:type="dxa"/>
            <w:shd w:val="clear" w:color="auto" w:fill="D9D9D9" w:themeFill="background1" w:themeFillShade="D9"/>
          </w:tcPr>
          <w:p w14:paraId="6A02C518" w14:textId="630B3387" w:rsidR="00C91C45" w:rsidRPr="001115C5" w:rsidRDefault="00C91C45" w:rsidP="00895773">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This provision prohibits a Person who sells without a valid permit from obtaining a permit for a set amount of time. This ineligibility period is in addition to any other penalty the city or county might pursue, such as the fines set forth in Section 15.</w:t>
            </w:r>
          </w:p>
        </w:tc>
      </w:tr>
    </w:tbl>
    <w:p w14:paraId="77BB5D9A" w14:textId="5BFE968D" w:rsidR="00C91C45" w:rsidRPr="001115C5" w:rsidRDefault="00C91C45" w:rsidP="00064063">
      <w:pPr>
        <w:pStyle w:val="ListParagraph"/>
        <w:numPr>
          <w:ilvl w:val="0"/>
          <w:numId w:val="22"/>
        </w:numPr>
        <w:spacing w:before="360" w:after="240"/>
        <w:ind w:left="360"/>
        <w:rPr>
          <w:rFonts w:ascii="Helvetica Neue" w:hAnsi="Helvetica Neue" w:cs="Arial"/>
        </w:rPr>
      </w:pPr>
      <w:r w:rsidRPr="001115C5">
        <w:rPr>
          <w:rFonts w:ascii="Helvetica Neue" w:hAnsi="Helvetica Neue" w:cs="Arial"/>
        </w:rPr>
        <w:t xml:space="preserve">Cannabis and Cannabis Products offered for sale in violation of this </w:t>
      </w:r>
      <w:r w:rsidR="008B35D9" w:rsidRPr="001115C5">
        <w:rPr>
          <w:rFonts w:ascii="Helvetica Neue" w:hAnsi="Helvetica Neue" w:cs="Arial"/>
          <w:color w:val="FF0000"/>
        </w:rPr>
        <w:t>[Article/Chapter]</w:t>
      </w:r>
      <w:r w:rsidRPr="001115C5">
        <w:rPr>
          <w:rFonts w:ascii="Helvetica Neue" w:hAnsi="Helvetica Neue" w:cs="Arial"/>
        </w:rPr>
        <w:t xml:space="preserve"> are subject to seizure by the </w:t>
      </w:r>
      <w:r w:rsidRPr="001115C5">
        <w:rPr>
          <w:rFonts w:ascii="Helvetica Neue" w:hAnsi="Helvetica Neue" w:cs="Arial"/>
          <w:color w:val="FF0000"/>
        </w:rPr>
        <w:t>Department</w:t>
      </w:r>
      <w:r w:rsidRPr="001115C5">
        <w:rPr>
          <w:rFonts w:ascii="Helvetica Neue" w:hAnsi="Helvetica Neue" w:cs="Arial"/>
        </w:rPr>
        <w:t xml:space="preserve"> or any peace officer and shall be forfeited after reasonable notice to the permit holder and to any other Owner of the Cannabis or Cannabis Products and an opportunity to demonstrate the Cannabis and Cannabis Products were not offered for sale in violation of this </w:t>
      </w:r>
      <w:r w:rsidR="008B35D9" w:rsidRPr="001115C5">
        <w:rPr>
          <w:rFonts w:ascii="Helvetica Neue" w:hAnsi="Helvetica Neue" w:cs="Arial"/>
          <w:color w:val="FF0000"/>
        </w:rPr>
        <w:t>[Article/Chapter]</w:t>
      </w:r>
      <w:r w:rsidRPr="001115C5">
        <w:rPr>
          <w:rFonts w:ascii="Helvetica Neue" w:hAnsi="Helvetica Neue" w:cs="Arial"/>
        </w:rPr>
        <w:t xml:space="preserve">. Any person aggrieved by a </w:t>
      </w:r>
      <w:r w:rsidRPr="001115C5">
        <w:rPr>
          <w:rFonts w:ascii="Helvetica Neue" w:hAnsi="Helvetica Neue" w:cs="Arial"/>
          <w:color w:val="FF0000"/>
        </w:rPr>
        <w:t>Department</w:t>
      </w:r>
      <w:r w:rsidRPr="001115C5">
        <w:rPr>
          <w:rFonts w:ascii="Helvetica Neue" w:hAnsi="Helvetica Neue" w:cs="Arial"/>
        </w:rPr>
        <w:t xml:space="preserve"> decision to forfeit Cannabis and Cannabis Products may appeal under </w:t>
      </w:r>
      <w:r w:rsidRPr="001115C5">
        <w:rPr>
          <w:rFonts w:ascii="Helvetica Neue" w:hAnsi="Helvetica Neue" w:cs="Arial"/>
        </w:rPr>
        <w:lastRenderedPageBreak/>
        <w:t xml:space="preserve">the procedures of Section II(N)(3) of this </w:t>
      </w:r>
      <w:r w:rsidR="008B35D9" w:rsidRPr="001115C5">
        <w:rPr>
          <w:rFonts w:ascii="Helvetica Neue" w:hAnsi="Helvetica Neue" w:cs="Arial"/>
          <w:color w:val="FF0000"/>
        </w:rPr>
        <w:t>[Article/Chapter]</w:t>
      </w:r>
      <w:r w:rsidRPr="001115C5">
        <w:rPr>
          <w:rFonts w:ascii="Helvetica Neue" w:hAnsi="Helvetica Neue" w:cs="Arial"/>
        </w:rPr>
        <w:t>. Forfeited Cannabis and Cannabis Products shall be destroyed after all internal appeals have been exhausted and the time to seek judicial review under Code of Civil Procedure section 1094.6 has expired without the filing of a lawsuit or, if such a suit is filed, after a final, non-appealable judgment enters in that suit.</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C91C45" w:rsidRPr="001115C5" w14:paraId="673A2E14" w14:textId="77777777" w:rsidTr="00895773">
        <w:tc>
          <w:tcPr>
            <w:tcW w:w="10188" w:type="dxa"/>
            <w:shd w:val="clear" w:color="auto" w:fill="D9D9D9" w:themeFill="background1" w:themeFillShade="D9"/>
          </w:tcPr>
          <w:p w14:paraId="68A04313" w14:textId="397C70F2" w:rsidR="00C91C45" w:rsidRPr="001115C5" w:rsidRDefault="00C91C45" w:rsidP="00895773">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Seizing and destroying illegally offered products requires additional procedures beyond the normal hearing for permit suspension. In part, this is because of the possibility that the owner of products seized is not the permit holder. For example, products could be sold on a consignment basis (i.e., the store owner sells products owned by someone else in exchange for a portion of the sales price). Such owners must be provided due process before their property is destroyed. An independent administrative hearing regarding the forfeiture of any seized products is recommended.</w:t>
            </w:r>
          </w:p>
        </w:tc>
      </w:tr>
    </w:tbl>
    <w:p w14:paraId="06A8D0AE" w14:textId="77777777" w:rsidR="00B04754" w:rsidRPr="001115C5" w:rsidRDefault="00C91C45" w:rsidP="00064063">
      <w:pPr>
        <w:pStyle w:val="ListParagraph"/>
        <w:numPr>
          <w:ilvl w:val="0"/>
          <w:numId w:val="22"/>
        </w:numPr>
        <w:spacing w:before="480" w:after="240"/>
        <w:ind w:left="360"/>
        <w:contextualSpacing w:val="0"/>
        <w:rPr>
          <w:rFonts w:ascii="Helvetica Neue" w:hAnsi="Helvetica Neue" w:cs="Arial"/>
        </w:rPr>
      </w:pPr>
      <w:r w:rsidRPr="001115C5">
        <w:rPr>
          <w:rFonts w:ascii="Helvetica Neue" w:hAnsi="Helvetica Neue" w:cs="Arial"/>
        </w:rPr>
        <w:t xml:space="preserve">For the purposes of the civil remedies provided in this </w:t>
      </w:r>
      <w:r w:rsidR="008B35D9" w:rsidRPr="001115C5">
        <w:rPr>
          <w:rFonts w:ascii="Helvetica Neue" w:hAnsi="Helvetica Neue" w:cs="Arial"/>
          <w:color w:val="FF0000"/>
        </w:rPr>
        <w:t>[Article/Chapter]</w:t>
      </w:r>
      <w:r w:rsidRPr="001115C5">
        <w:rPr>
          <w:rFonts w:ascii="Helvetica Neue" w:hAnsi="Helvetica Neue" w:cs="Arial"/>
        </w:rPr>
        <w:t>:</w:t>
      </w:r>
    </w:p>
    <w:p w14:paraId="4C18D1F4" w14:textId="77777777" w:rsidR="00B04754" w:rsidRPr="001115C5" w:rsidRDefault="00C91C45" w:rsidP="00064063">
      <w:pPr>
        <w:pStyle w:val="ListParagraph"/>
        <w:numPr>
          <w:ilvl w:val="1"/>
          <w:numId w:val="22"/>
        </w:numPr>
        <w:spacing w:after="240"/>
        <w:ind w:left="792"/>
        <w:contextualSpacing w:val="0"/>
        <w:rPr>
          <w:rFonts w:ascii="Helvetica Neue" w:hAnsi="Helvetica Neue" w:cs="Arial"/>
        </w:rPr>
      </w:pPr>
      <w:r w:rsidRPr="001115C5">
        <w:rPr>
          <w:rFonts w:ascii="Helvetica Neue" w:hAnsi="Helvetica Neue" w:cs="Arial"/>
        </w:rPr>
        <w:t xml:space="preserve">Each day on which Cannabis or a Cannabis Product is offered for sale in violation of this </w:t>
      </w:r>
      <w:r w:rsidR="008B35D9" w:rsidRPr="001115C5">
        <w:rPr>
          <w:rFonts w:ascii="Helvetica Neue" w:hAnsi="Helvetica Neue" w:cs="Arial"/>
          <w:color w:val="FF0000"/>
        </w:rPr>
        <w:t>[Article/Chapter]</w:t>
      </w:r>
      <w:r w:rsidRPr="001115C5">
        <w:rPr>
          <w:rFonts w:ascii="Helvetica Neue" w:hAnsi="Helvetica Neue" w:cs="Arial"/>
        </w:rPr>
        <w:t>; or</w:t>
      </w:r>
    </w:p>
    <w:p w14:paraId="47187252" w14:textId="684221D5" w:rsidR="00C91C45" w:rsidRPr="001115C5" w:rsidRDefault="00C91C45" w:rsidP="00064063">
      <w:pPr>
        <w:pStyle w:val="ListParagraph"/>
        <w:numPr>
          <w:ilvl w:val="1"/>
          <w:numId w:val="22"/>
        </w:numPr>
        <w:spacing w:after="240"/>
        <w:ind w:left="792"/>
        <w:contextualSpacing w:val="0"/>
        <w:rPr>
          <w:rFonts w:ascii="Helvetica Neue" w:hAnsi="Helvetica Neue" w:cs="Arial"/>
        </w:rPr>
      </w:pPr>
      <w:r w:rsidRPr="001115C5">
        <w:rPr>
          <w:rFonts w:ascii="Helvetica Neue" w:hAnsi="Helvetica Neue" w:cs="Arial"/>
        </w:rPr>
        <w:t xml:space="preserve">Each individual Cannabis or Cannabis Product distributed, sold, or offered for sale in violation of this </w:t>
      </w:r>
      <w:r w:rsidR="008B35D9" w:rsidRPr="001115C5">
        <w:rPr>
          <w:rFonts w:ascii="Helvetica Neue" w:hAnsi="Helvetica Neue" w:cs="Arial"/>
          <w:color w:val="FF0000"/>
        </w:rPr>
        <w:t>[Article/Chapter]</w:t>
      </w:r>
      <w:r w:rsidRPr="001115C5">
        <w:rPr>
          <w:rFonts w:ascii="Helvetica Neue" w:hAnsi="Helvetica Neue" w:cs="Arial"/>
        </w:rPr>
        <w:t xml:space="preserve">, shall constitute a separate violation of this </w:t>
      </w:r>
      <w:r w:rsidR="008B35D9" w:rsidRPr="001115C5">
        <w:rPr>
          <w:rFonts w:ascii="Helvetica Neue" w:hAnsi="Helvetica Neue" w:cs="Arial"/>
          <w:color w:val="FF0000"/>
        </w:rPr>
        <w:t>[Article/Chapter]</w:t>
      </w:r>
      <w:r w:rsidRPr="001115C5">
        <w:rPr>
          <w:rFonts w:ascii="Helvetica Neue" w:hAnsi="Helvetica Neue" w:cs="Arial"/>
        </w:rPr>
        <w:t>.</w:t>
      </w:r>
    </w:p>
    <w:p w14:paraId="1C2D1BA5" w14:textId="447D4942" w:rsidR="00C91C45" w:rsidRPr="001115C5" w:rsidRDefault="00C91C45" w:rsidP="00B04754">
      <w:pPr>
        <w:pStyle w:val="Heading3"/>
        <w:spacing w:before="480" w:after="240"/>
        <w:rPr>
          <w:rFonts w:ascii="Helvetica Neue" w:hAnsi="Helvetica Neue"/>
        </w:rPr>
      </w:pPr>
      <w:bookmarkStart w:id="23" w:name="_Toc65578308"/>
      <w:r w:rsidRPr="001115C5">
        <w:rPr>
          <w:rFonts w:ascii="Helvetica Neue" w:hAnsi="Helvetica Neue"/>
        </w:rPr>
        <w:t>Section P. ADDITIONAL REMEDIES</w:t>
      </w:r>
      <w:bookmarkEnd w:id="23"/>
    </w:p>
    <w:p w14:paraId="08F98CEE" w14:textId="6477B8E8" w:rsidR="00C91C45" w:rsidRPr="001115C5" w:rsidRDefault="00C91C45" w:rsidP="00064063">
      <w:pPr>
        <w:pStyle w:val="ListParagraph"/>
        <w:numPr>
          <w:ilvl w:val="0"/>
          <w:numId w:val="23"/>
        </w:numPr>
        <w:spacing w:after="240"/>
        <w:ind w:left="360"/>
        <w:rPr>
          <w:rFonts w:ascii="Helvetica Neue" w:hAnsi="Helvetica Neue" w:cs="Arial"/>
        </w:rPr>
      </w:pPr>
      <w:r w:rsidRPr="001115C5">
        <w:rPr>
          <w:rFonts w:ascii="Helvetica Neue" w:hAnsi="Helvetica Neue" w:cs="Arial"/>
        </w:rPr>
        <w:t xml:space="preserve">The remedies provided by this </w:t>
      </w:r>
      <w:r w:rsidR="008B35D9" w:rsidRPr="001115C5">
        <w:rPr>
          <w:rFonts w:ascii="Helvetica Neue" w:hAnsi="Helvetica Neue" w:cs="Arial"/>
          <w:color w:val="FF0000"/>
        </w:rPr>
        <w:t>[Article/Chapter]</w:t>
      </w:r>
      <w:r w:rsidRPr="001115C5">
        <w:rPr>
          <w:rFonts w:ascii="Helvetica Neue" w:hAnsi="Helvetica Neue" w:cs="Arial"/>
        </w:rPr>
        <w:t xml:space="preserve"> are cumulative and in addition to any other remedies available at law or in equity; no election of remedies shall apply, provided only that no sum due the </w:t>
      </w:r>
      <w:r w:rsidR="00E04A35" w:rsidRPr="001115C5">
        <w:rPr>
          <w:rFonts w:ascii="Helvetica Neue" w:hAnsi="Helvetica Neue" w:cs="Arial"/>
          <w:color w:val="FF0000"/>
        </w:rPr>
        <w:t>[City/County]</w:t>
      </w:r>
      <w:r w:rsidRPr="001115C5">
        <w:rPr>
          <w:rFonts w:ascii="Helvetica Neue" w:hAnsi="Helvetica Neue" w:cs="Arial"/>
        </w:rPr>
        <w:t xml:space="preserve"> under this </w:t>
      </w:r>
      <w:r w:rsidR="008B35D9" w:rsidRPr="001115C5">
        <w:rPr>
          <w:rFonts w:ascii="Helvetica Neue" w:hAnsi="Helvetica Neue" w:cs="Arial"/>
          <w:color w:val="FF0000"/>
        </w:rPr>
        <w:t>[Article/Chapter]</w:t>
      </w:r>
      <w:r w:rsidRPr="001115C5">
        <w:rPr>
          <w:rFonts w:ascii="Helvetica Neue" w:hAnsi="Helvetica Neue" w:cs="Arial"/>
        </w:rPr>
        <w:t xml:space="preserve"> may be recovered more than once except as permitted by applicable law, such as Business &amp; Professions Code section 17082 or Government Code section 38773.7.The Unfair Businesses Practices Law (Bus &amp; Prof Code section 17082) also allows recovery of attorneys’ fees as well as treble damages.</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C91C45" w:rsidRPr="001115C5" w14:paraId="41EBF1D5" w14:textId="77777777" w:rsidTr="00895773">
        <w:tc>
          <w:tcPr>
            <w:tcW w:w="10188" w:type="dxa"/>
            <w:shd w:val="clear" w:color="auto" w:fill="D9D9D9" w:themeFill="background1" w:themeFillShade="D9"/>
          </w:tcPr>
          <w:p w14:paraId="4AA548F0" w14:textId="3CC6F93C" w:rsidR="00C91C45" w:rsidRPr="001115C5" w:rsidRDefault="00C91C45" w:rsidP="00895773">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xml:space="preserve">: The following subsections are designed to offer a variety of options to the drafter and to the enforcing agency. Drafters may choose to include some or all these options. Once the </w:t>
            </w:r>
            <w:r w:rsidRPr="001115C5">
              <w:rPr>
                <w:rFonts w:ascii="Helvetica Neue" w:eastAsia="Helvetica Neue" w:hAnsi="Helvetica Neue" w:cs="Arial"/>
              </w:rPr>
              <w:lastRenderedPageBreak/>
              <w:t>ordinance is enacted, the enforcing agency will have the discretion to choose which enforcement tools to use in all cases or from case to case. As a practical matter, these enforcement options would not be applied simultaneously, although multiple remedies might be used against a particularly egregious violator over time.</w:t>
            </w:r>
          </w:p>
        </w:tc>
      </w:tr>
    </w:tbl>
    <w:p w14:paraId="1D11464A" w14:textId="22A0325A" w:rsidR="00C91C45" w:rsidRPr="001115C5" w:rsidRDefault="00C91C45" w:rsidP="00064063">
      <w:pPr>
        <w:pStyle w:val="ListParagraph"/>
        <w:numPr>
          <w:ilvl w:val="0"/>
          <w:numId w:val="23"/>
        </w:numPr>
        <w:spacing w:before="480" w:after="240"/>
        <w:ind w:left="360"/>
        <w:rPr>
          <w:rFonts w:ascii="Helvetica Neue" w:hAnsi="Helvetica Neue" w:cs="Arial"/>
        </w:rPr>
      </w:pPr>
      <w:r w:rsidRPr="001115C5">
        <w:rPr>
          <w:rFonts w:ascii="Helvetica Neue" w:hAnsi="Helvetica Neue" w:cs="Arial"/>
        </w:rPr>
        <w:lastRenderedPageBreak/>
        <w:t xml:space="preserve">Whenever evidence of a violation of this </w:t>
      </w:r>
      <w:r w:rsidR="008B35D9" w:rsidRPr="001115C5">
        <w:rPr>
          <w:rFonts w:ascii="Helvetica Neue" w:hAnsi="Helvetica Neue" w:cs="Arial"/>
          <w:color w:val="FF0000"/>
        </w:rPr>
        <w:t>[Article/Chapter]</w:t>
      </w:r>
      <w:r w:rsidRPr="001115C5">
        <w:rPr>
          <w:rFonts w:ascii="Helvetica Neue" w:hAnsi="Helvetica Neue" w:cs="Arial"/>
        </w:rPr>
        <w:t xml:space="preserve"> is obtained in any part through the participation of a Person under the age of 21, such a Person shall not be required to appear or give testimony in any civil or administrative process brought to enforce this </w:t>
      </w:r>
      <w:r w:rsidR="008B35D9" w:rsidRPr="001115C5">
        <w:rPr>
          <w:rFonts w:ascii="Helvetica Neue" w:hAnsi="Helvetica Neue" w:cs="Arial"/>
          <w:color w:val="FF0000"/>
        </w:rPr>
        <w:t>[Article/Chapter]</w:t>
      </w:r>
      <w:r w:rsidRPr="001115C5">
        <w:rPr>
          <w:rFonts w:ascii="Helvetica Neue" w:hAnsi="Helvetica Neue" w:cs="Arial"/>
        </w:rPr>
        <w:t>, and the alleged violation shall be adjudicated based upon the sufficiency and persuasiveness of the evidence presented.</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C91C45" w:rsidRPr="001115C5" w14:paraId="0ED639B8" w14:textId="77777777" w:rsidTr="00895773">
        <w:tc>
          <w:tcPr>
            <w:tcW w:w="10188" w:type="dxa"/>
            <w:shd w:val="clear" w:color="auto" w:fill="D9D9D9" w:themeFill="background1" w:themeFillShade="D9"/>
          </w:tcPr>
          <w:p w14:paraId="703DD30B" w14:textId="4AAEA913" w:rsidR="00C91C45" w:rsidRPr="001115C5" w:rsidRDefault="00C91C45" w:rsidP="00895773">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This provision is designed to eliminate any legal right a defendant might otherwise have to compel a Youth Decoy to testify or be deposed. If criminal remedies are pursued, constitutional rights of criminal defendants to confront witnesses against them may require a youth decoy to testify.</w:t>
            </w:r>
          </w:p>
        </w:tc>
      </w:tr>
    </w:tbl>
    <w:p w14:paraId="47D923C3" w14:textId="5049DDD1" w:rsidR="00C91C45" w:rsidRPr="001115C5" w:rsidRDefault="00C91C45" w:rsidP="00064063">
      <w:pPr>
        <w:pStyle w:val="ListParagraph"/>
        <w:numPr>
          <w:ilvl w:val="0"/>
          <w:numId w:val="23"/>
        </w:numPr>
        <w:spacing w:before="480" w:after="240"/>
        <w:ind w:left="504"/>
        <w:rPr>
          <w:rFonts w:ascii="Helvetica Neue" w:hAnsi="Helvetica Neue" w:cs="Arial"/>
        </w:rPr>
      </w:pPr>
      <w:r w:rsidRPr="001115C5">
        <w:rPr>
          <w:rFonts w:ascii="Helvetica Neue" w:hAnsi="Helvetica Neue" w:cs="Arial"/>
        </w:rPr>
        <w:t xml:space="preserve">Violations of this </w:t>
      </w:r>
      <w:r w:rsidR="008B35D9" w:rsidRPr="001115C5">
        <w:rPr>
          <w:rFonts w:ascii="Helvetica Neue" w:hAnsi="Helvetica Neue" w:cs="Arial"/>
          <w:color w:val="FF0000"/>
        </w:rPr>
        <w:t>[Article/Chapter]</w:t>
      </w:r>
      <w:r w:rsidRPr="001115C5">
        <w:rPr>
          <w:rFonts w:ascii="Helvetica Neue" w:hAnsi="Helvetica Neue" w:cs="Arial"/>
        </w:rPr>
        <w:t xml:space="preserve"> are subject to a civil action brought by the </w:t>
      </w:r>
      <w:r w:rsidRPr="001115C5">
        <w:rPr>
          <w:rFonts w:ascii="Helvetica Neue" w:hAnsi="Helvetica Neue" w:cs="Arial"/>
          <w:color w:val="FF0000"/>
        </w:rPr>
        <w:t>[City Attorney/County Counsel]</w:t>
      </w:r>
      <w:r w:rsidRPr="001115C5">
        <w:rPr>
          <w:rFonts w:ascii="Helvetica Neue" w:hAnsi="Helvetica Neue" w:cs="Arial"/>
        </w:rPr>
        <w:t>, punishable by a civil fine not less than $250 and not exceeding $1,000 per violation.</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C91C45" w:rsidRPr="001115C5" w14:paraId="086F6E8A" w14:textId="77777777" w:rsidTr="00895773">
        <w:tc>
          <w:tcPr>
            <w:tcW w:w="10188" w:type="dxa"/>
            <w:shd w:val="clear" w:color="auto" w:fill="D9D9D9" w:themeFill="background1" w:themeFillShade="D9"/>
          </w:tcPr>
          <w:p w14:paraId="10E05026" w14:textId="2A257AE2" w:rsidR="00C91C45" w:rsidRPr="001115C5" w:rsidRDefault="00C91C45" w:rsidP="00895773">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This provision provides an option for civil fines for violating the licensing ordinance which would require that the city or county file a traditional civil suit. The fine amounts can be adjusted but cannot exceed $1,000 per violation (Government Code section 36901). But note that the ordinance defines each sale of each product on each day as a separate violation, so substantial fines might be sought in an appropriate case.</w:t>
            </w:r>
          </w:p>
        </w:tc>
      </w:tr>
    </w:tbl>
    <w:p w14:paraId="6E975D38" w14:textId="1E5FDAA7" w:rsidR="00C91C45" w:rsidRPr="001115C5" w:rsidRDefault="00C91C45" w:rsidP="00064063">
      <w:pPr>
        <w:pStyle w:val="ListParagraph"/>
        <w:numPr>
          <w:ilvl w:val="0"/>
          <w:numId w:val="23"/>
        </w:numPr>
        <w:spacing w:before="480" w:after="240"/>
        <w:ind w:left="360"/>
        <w:rPr>
          <w:rFonts w:ascii="Helvetica Neue" w:hAnsi="Helvetica Neue" w:cs="Arial"/>
        </w:rPr>
      </w:pPr>
      <w:r w:rsidRPr="001115C5">
        <w:rPr>
          <w:rFonts w:ascii="Helvetica Neue" w:hAnsi="Helvetica Neue" w:cs="Arial"/>
        </w:rPr>
        <w:t xml:space="preserve">Causing, permitting, aiding, abetting, or concealing a violation of any provision of this </w:t>
      </w:r>
      <w:r w:rsidR="008B35D9" w:rsidRPr="001115C5">
        <w:rPr>
          <w:rFonts w:ascii="Helvetica Neue" w:hAnsi="Helvetica Neue" w:cs="Arial"/>
          <w:color w:val="FF0000"/>
        </w:rPr>
        <w:t>[Article/Chapter]</w:t>
      </w:r>
      <w:r w:rsidRPr="001115C5">
        <w:rPr>
          <w:rFonts w:ascii="Helvetica Neue" w:hAnsi="Helvetica Neue" w:cs="Arial"/>
        </w:rPr>
        <w:t xml:space="preserve"> shall also constitute a violation of this </w:t>
      </w:r>
      <w:r w:rsidR="008B35D9" w:rsidRPr="001115C5">
        <w:rPr>
          <w:rFonts w:ascii="Helvetica Neue" w:hAnsi="Helvetica Neue" w:cs="Arial"/>
          <w:color w:val="FF0000"/>
        </w:rPr>
        <w:t>[Article/Chapter]</w:t>
      </w:r>
      <w:r w:rsidRPr="001115C5">
        <w:rPr>
          <w:rFonts w:ascii="Helvetica Neue" w:hAnsi="Helvetica Neue" w:cs="Arial"/>
        </w:rPr>
        <w:t>.</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C91C45" w:rsidRPr="001115C5" w14:paraId="54276402" w14:textId="77777777" w:rsidTr="00895773">
        <w:tc>
          <w:tcPr>
            <w:tcW w:w="10188" w:type="dxa"/>
            <w:shd w:val="clear" w:color="auto" w:fill="D9D9D9" w:themeFill="background1" w:themeFillShade="D9"/>
          </w:tcPr>
          <w:p w14:paraId="369D85EB" w14:textId="0542EA62" w:rsidR="00C91C45" w:rsidRPr="001115C5" w:rsidRDefault="00C91C45" w:rsidP="00895773">
            <w:pPr>
              <w:spacing w:before="240" w:after="120" w:line="360" w:lineRule="auto"/>
              <w:rPr>
                <w:rFonts w:ascii="Helvetica Neue" w:eastAsia="Helvetica Neue" w:hAnsi="Helvetica Neue" w:cs="Arial"/>
              </w:rPr>
            </w:pPr>
            <w:r w:rsidRPr="001115C5">
              <w:rPr>
                <w:rFonts w:ascii="Helvetica Neue" w:eastAsia="Helvetica Neue" w:hAnsi="Helvetica Neue" w:cs="Arial"/>
                <w:b/>
                <w:bCs/>
              </w:rPr>
              <w:lastRenderedPageBreak/>
              <w:t>COMMENT</w:t>
            </w:r>
            <w:r w:rsidRPr="001115C5">
              <w:rPr>
                <w:rFonts w:ascii="Helvetica Neue" w:eastAsia="Helvetica Neue" w:hAnsi="Helvetica Neue" w:cs="Arial"/>
              </w:rPr>
              <w:t>: This is standard language typically included in a city or county code and may be omitted if duplicative of existing code provisions.</w:t>
            </w:r>
          </w:p>
        </w:tc>
      </w:tr>
    </w:tbl>
    <w:p w14:paraId="29A191B7" w14:textId="079FDAA2" w:rsidR="00C91C45" w:rsidRPr="001115C5" w:rsidRDefault="00C91C45" w:rsidP="00064063">
      <w:pPr>
        <w:pStyle w:val="ListParagraph"/>
        <w:numPr>
          <w:ilvl w:val="0"/>
          <w:numId w:val="23"/>
        </w:numPr>
        <w:spacing w:before="480" w:after="240"/>
        <w:ind w:left="360"/>
        <w:rPr>
          <w:rFonts w:ascii="Helvetica Neue" w:hAnsi="Helvetica Neue" w:cs="Arial"/>
        </w:rPr>
      </w:pPr>
      <w:r w:rsidRPr="001115C5">
        <w:rPr>
          <w:rFonts w:ascii="Helvetica Neue" w:hAnsi="Helvetica Neue" w:cs="Arial"/>
        </w:rPr>
        <w:t xml:space="preserve">Violations of this </w:t>
      </w:r>
      <w:r w:rsidR="008B35D9" w:rsidRPr="001115C5">
        <w:rPr>
          <w:rFonts w:ascii="Helvetica Neue" w:hAnsi="Helvetica Neue" w:cs="Arial"/>
          <w:color w:val="FF0000"/>
        </w:rPr>
        <w:t>[Article/Chapter]</w:t>
      </w:r>
      <w:r w:rsidRPr="001115C5">
        <w:rPr>
          <w:rFonts w:ascii="Helvetica Neue" w:hAnsi="Helvetica Neue" w:cs="Arial"/>
        </w:rPr>
        <w:t xml:space="preserve"> are hereby declared to be public nuisances.</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C91C45" w:rsidRPr="001115C5" w14:paraId="28EC433C" w14:textId="77777777" w:rsidTr="00895773">
        <w:tc>
          <w:tcPr>
            <w:tcW w:w="10188" w:type="dxa"/>
            <w:shd w:val="clear" w:color="auto" w:fill="D9D9D9" w:themeFill="background1" w:themeFillShade="D9"/>
          </w:tcPr>
          <w:p w14:paraId="40DE3D8E" w14:textId="7070C587" w:rsidR="00C91C45" w:rsidRPr="001115C5" w:rsidRDefault="00C91C45" w:rsidP="00895773">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By expressly stating that violations are public nuisances, this provision allows enforcement of the ordinance via the administrative nuisance abatement procedures commonly found in municipal codes. Such a declaration also facilitates injunctive relief (where a court orders a defendant to do, or to refrain from doing, specified acts).</w:t>
            </w:r>
          </w:p>
        </w:tc>
      </w:tr>
    </w:tbl>
    <w:p w14:paraId="65C531C0" w14:textId="748A0BCA" w:rsidR="00C91C45" w:rsidRPr="001115C5" w:rsidRDefault="00C91C45" w:rsidP="00064063">
      <w:pPr>
        <w:pStyle w:val="ListParagraph"/>
        <w:numPr>
          <w:ilvl w:val="0"/>
          <w:numId w:val="23"/>
        </w:numPr>
        <w:spacing w:before="480" w:after="240"/>
        <w:ind w:left="360"/>
        <w:rPr>
          <w:rFonts w:ascii="Helvetica Neue" w:hAnsi="Helvetica Neue" w:cs="Arial"/>
        </w:rPr>
      </w:pPr>
      <w:r w:rsidRPr="001115C5">
        <w:rPr>
          <w:rFonts w:ascii="Helvetica Neue" w:hAnsi="Helvetica Neue" w:cs="Arial"/>
        </w:rPr>
        <w:t xml:space="preserve">In addition to other remedies provided by this </w:t>
      </w:r>
      <w:r w:rsidR="008B35D9" w:rsidRPr="001115C5">
        <w:rPr>
          <w:rFonts w:ascii="Helvetica Neue" w:hAnsi="Helvetica Neue" w:cs="Arial"/>
          <w:color w:val="FF0000"/>
        </w:rPr>
        <w:t>[Article/Chapter]</w:t>
      </w:r>
      <w:r w:rsidRPr="001115C5">
        <w:rPr>
          <w:rFonts w:ascii="Helvetica Neue" w:hAnsi="Helvetica Neue" w:cs="Arial"/>
        </w:rPr>
        <w:t xml:space="preserve">, or by other law, any violation of this </w:t>
      </w:r>
      <w:r w:rsidR="008B35D9" w:rsidRPr="001115C5">
        <w:rPr>
          <w:rFonts w:ascii="Helvetica Neue" w:hAnsi="Helvetica Neue" w:cs="Arial"/>
          <w:color w:val="FF0000"/>
        </w:rPr>
        <w:t>[Article/Chapter]</w:t>
      </w:r>
      <w:r w:rsidRPr="001115C5">
        <w:rPr>
          <w:rFonts w:ascii="Helvetica Neue" w:hAnsi="Helvetica Neue" w:cs="Arial"/>
        </w:rPr>
        <w:t xml:space="preserve"> may be remedied by a civil action brought by the </w:t>
      </w:r>
      <w:r w:rsidRPr="001115C5">
        <w:rPr>
          <w:rFonts w:ascii="Helvetica Neue" w:hAnsi="Helvetica Neue" w:cs="Arial"/>
          <w:color w:val="FF0000"/>
        </w:rPr>
        <w:t>[City Attorney/County Counsel]</w:t>
      </w:r>
      <w:r w:rsidRPr="001115C5">
        <w:rPr>
          <w:rFonts w:ascii="Helvetica Neue" w:hAnsi="Helvetica Neue" w:cs="Arial"/>
        </w:rPr>
        <w:t>, including, for example, administrative or judicial nuisance abatement proceedings, civil code enforcement proceedings, and suits for injunctive relief.</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C91C45" w:rsidRPr="001115C5" w14:paraId="659DADA2" w14:textId="77777777" w:rsidTr="00895773">
        <w:tc>
          <w:tcPr>
            <w:tcW w:w="10188" w:type="dxa"/>
            <w:shd w:val="clear" w:color="auto" w:fill="D9D9D9" w:themeFill="background1" w:themeFillShade="D9"/>
          </w:tcPr>
          <w:p w14:paraId="460D6E72" w14:textId="5E262776" w:rsidR="00C91C45" w:rsidRPr="001115C5" w:rsidRDefault="00C91C45" w:rsidP="00C91C45">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It is common to provide that local government lawyers may go to court to seek injunctions and other penalties in addition to fines. The express provision for injunctive relief lowers the showing required to obtain a preliminary or permanent injunction as described in IT Corp. v. County of Imperial, 35 Cal. 3d 63 (1983).</w:t>
            </w:r>
          </w:p>
          <w:p w14:paraId="160F5788" w14:textId="0C52E93A" w:rsidR="00C91C45" w:rsidRPr="001115C5" w:rsidRDefault="00C91C45" w:rsidP="00C91C45">
            <w:pPr>
              <w:spacing w:before="120" w:after="120" w:line="360" w:lineRule="auto"/>
              <w:rPr>
                <w:rFonts w:ascii="Helvetica Neue" w:eastAsia="Helvetica Neue" w:hAnsi="Helvetica Neue" w:cs="Arial"/>
              </w:rPr>
            </w:pPr>
            <w:r w:rsidRPr="001115C5">
              <w:rPr>
                <w:rFonts w:ascii="Helvetica Neue" w:eastAsia="Helvetica Neue" w:hAnsi="Helvetica Neue" w:cs="Arial"/>
              </w:rPr>
              <w:t xml:space="preserve">Think carefully about the nuisance abatement procedure you choose. A local government may provide for treble damages for the second or subsequent nuisance abatement judgment within a two-year period, if the ordinance is enacted pursuant to Government Code section 38773.5. Treble damages are not available, however, under the alternative nuisance abatement procedures in Government Code section 38773.1 and Health &amp; Safety Code section 17980. Government Code section 38773.7 (authorizing treble damages) establishes a nuisance abatement procedure in which </w:t>
            </w:r>
            <w:r w:rsidRPr="001115C5">
              <w:rPr>
                <w:rFonts w:ascii="Helvetica Neue" w:eastAsia="Helvetica Neue" w:hAnsi="Helvetica Neue" w:cs="Arial"/>
              </w:rPr>
              <w:lastRenderedPageBreak/>
              <w:t>abatement costs can be collected as a special assessment on the property roll against property on which a violation occurs.</w:t>
            </w:r>
          </w:p>
        </w:tc>
      </w:tr>
    </w:tbl>
    <w:p w14:paraId="271EB46F" w14:textId="2A5AE9D5" w:rsidR="00890A97" w:rsidRPr="001115C5" w:rsidRDefault="00890A97" w:rsidP="005A5512">
      <w:pPr>
        <w:pStyle w:val="Heading2"/>
        <w:spacing w:before="480" w:after="240"/>
        <w:rPr>
          <w:rFonts w:ascii="Helvetica Neue" w:hAnsi="Helvetica Neue"/>
        </w:rPr>
      </w:pPr>
      <w:bookmarkStart w:id="24" w:name="_Toc65578309"/>
      <w:r w:rsidRPr="001115C5">
        <w:rPr>
          <w:rFonts w:ascii="Helvetica Neue" w:hAnsi="Helvetica Neue"/>
        </w:rPr>
        <w:lastRenderedPageBreak/>
        <w:t>SECTION III. MARKETING AND ADVERTISING</w:t>
      </w:r>
      <w:bookmarkEnd w:id="24"/>
    </w:p>
    <w:p w14:paraId="7F454A10" w14:textId="7CD024DA" w:rsidR="00890A97" w:rsidRPr="001115C5" w:rsidRDefault="008B35D9" w:rsidP="005A5512">
      <w:pPr>
        <w:spacing w:after="240"/>
        <w:rPr>
          <w:rFonts w:ascii="Helvetica Neue" w:hAnsi="Helvetica Neue" w:cs="Arial"/>
        </w:rPr>
      </w:pPr>
      <w:r w:rsidRPr="001115C5">
        <w:rPr>
          <w:rFonts w:ascii="Helvetica Neue" w:hAnsi="Helvetica Neue" w:cs="Arial"/>
          <w:color w:val="FF0000"/>
        </w:rPr>
        <w:t>[Article/Chapter]</w:t>
      </w:r>
      <w:r w:rsidR="00890A97" w:rsidRPr="001115C5">
        <w:rPr>
          <w:rFonts w:ascii="Helvetica Neue" w:hAnsi="Helvetica Neue" w:cs="Arial"/>
        </w:rPr>
        <w:t xml:space="preserve">, of the </w:t>
      </w:r>
      <w:r w:rsidR="00890A97" w:rsidRPr="001115C5">
        <w:rPr>
          <w:rFonts w:ascii="Helvetica Neue" w:hAnsi="Helvetica Neue" w:cs="Arial"/>
          <w:color w:val="FF0000"/>
        </w:rPr>
        <w:t>[________] Code</w:t>
      </w:r>
      <w:r w:rsidR="00890A97" w:rsidRPr="001115C5">
        <w:rPr>
          <w:rFonts w:ascii="Helvetica Neue" w:hAnsi="Helvetica Neue" w:cs="Arial"/>
        </w:rPr>
        <w:t xml:space="preserve"> is hereby amended to read as follows:</w:t>
      </w:r>
    </w:p>
    <w:p w14:paraId="20373403" w14:textId="77777777" w:rsidR="00890A97" w:rsidRPr="001115C5" w:rsidRDefault="00890A97" w:rsidP="005A40E9">
      <w:pPr>
        <w:pStyle w:val="Heading3"/>
        <w:spacing w:before="480" w:after="240"/>
        <w:rPr>
          <w:rFonts w:ascii="Helvetica Neue" w:hAnsi="Helvetica Neue"/>
        </w:rPr>
      </w:pPr>
      <w:bookmarkStart w:id="25" w:name="_Toc65578310"/>
      <w:r w:rsidRPr="001115C5">
        <w:rPr>
          <w:rFonts w:ascii="Helvetica Neue" w:hAnsi="Helvetica Neue"/>
        </w:rPr>
        <w:t>Section A. DEFINITIONS</w:t>
      </w:r>
      <w:bookmarkEnd w:id="25"/>
    </w:p>
    <w:p w14:paraId="42391D8A" w14:textId="462FB3BB" w:rsidR="00890A97" w:rsidRPr="001115C5" w:rsidRDefault="00890A97" w:rsidP="005A40E9">
      <w:pPr>
        <w:spacing w:after="240"/>
        <w:rPr>
          <w:rFonts w:ascii="Helvetica Neue" w:hAnsi="Helvetica Neue" w:cs="Arial"/>
        </w:rPr>
      </w:pPr>
      <w:r w:rsidRPr="001115C5">
        <w:rPr>
          <w:rFonts w:ascii="Helvetica Neue" w:hAnsi="Helvetica Neue" w:cs="Arial"/>
        </w:rPr>
        <w:t xml:space="preserve">Capitalized words and phrases used in this </w:t>
      </w:r>
      <w:r w:rsidR="008B35D9" w:rsidRPr="001115C5">
        <w:rPr>
          <w:rFonts w:ascii="Helvetica Neue" w:hAnsi="Helvetica Neue" w:cs="Arial"/>
          <w:color w:val="FF0000"/>
        </w:rPr>
        <w:t>[Article/Chapter]</w:t>
      </w:r>
      <w:r w:rsidRPr="001115C5">
        <w:rPr>
          <w:rFonts w:ascii="Helvetica Neue" w:hAnsi="Helvetica Neue" w:cs="Arial"/>
        </w:rPr>
        <w:t xml:space="preserve"> shall have the meanings defined in SECTION II. Section A. Definitions.</w:t>
      </w:r>
    </w:p>
    <w:p w14:paraId="3F3494E7" w14:textId="1D2851C5" w:rsidR="00890A97" w:rsidRPr="001115C5" w:rsidRDefault="00890A97" w:rsidP="005A40E9">
      <w:pPr>
        <w:pStyle w:val="Heading3"/>
        <w:spacing w:before="480" w:after="240"/>
        <w:rPr>
          <w:rFonts w:ascii="Helvetica Neue" w:hAnsi="Helvetica Neue"/>
        </w:rPr>
      </w:pPr>
      <w:bookmarkStart w:id="26" w:name="_Toc65578311"/>
      <w:r w:rsidRPr="001115C5">
        <w:rPr>
          <w:rFonts w:ascii="Helvetica Neue" w:hAnsi="Helvetica Neue"/>
        </w:rPr>
        <w:t>Section B. Restrictions on Claims, Attractiveness to Youth, and Images of Risky Behavior.</w:t>
      </w:r>
      <w:bookmarkEnd w:id="26"/>
    </w:p>
    <w:p w14:paraId="199F0FD9" w14:textId="062FB01B" w:rsidR="005A40E9" w:rsidRPr="001115C5" w:rsidRDefault="00890A97" w:rsidP="00064063">
      <w:pPr>
        <w:pStyle w:val="ListParagraph"/>
        <w:numPr>
          <w:ilvl w:val="0"/>
          <w:numId w:val="24"/>
        </w:numPr>
        <w:spacing w:after="240"/>
        <w:ind w:left="360"/>
        <w:contextualSpacing w:val="0"/>
        <w:rPr>
          <w:rFonts w:ascii="Helvetica Neue" w:hAnsi="Helvetica Neue" w:cs="Arial"/>
        </w:rPr>
      </w:pPr>
      <w:r w:rsidRPr="001115C5">
        <w:rPr>
          <w:rFonts w:ascii="Helvetica Neue" w:hAnsi="Helvetica Neue" w:cs="Arial"/>
        </w:rPr>
        <w:t xml:space="preserve">No claims may be made in Advertising or Marketing materials in </w:t>
      </w:r>
      <w:r w:rsidR="008B35D9" w:rsidRPr="001115C5">
        <w:rPr>
          <w:rFonts w:ascii="Helvetica Neue" w:hAnsi="Helvetica Neue" w:cs="Arial"/>
          <w:color w:val="FF0000"/>
        </w:rPr>
        <w:t>[City/County]</w:t>
      </w:r>
      <w:r w:rsidRPr="001115C5">
        <w:rPr>
          <w:rFonts w:ascii="Helvetica Neue" w:hAnsi="Helvetica Neue" w:cs="Arial"/>
        </w:rPr>
        <w:t xml:space="preserve"> for Cannabis or Cannabis Products, brands or licensees that their products or activities are safe because they are regulated by the state or local licensing authority (e.g., “state-approved” or </w:t>
      </w:r>
      <w:r w:rsidR="00E04A35" w:rsidRPr="001115C5">
        <w:rPr>
          <w:rFonts w:ascii="Helvetica Neue" w:hAnsi="Helvetica Neue" w:cs="Arial"/>
        </w:rPr>
        <w:t>“</w:t>
      </w:r>
      <w:r w:rsidRPr="001115C5">
        <w:rPr>
          <w:rFonts w:ascii="Helvetica Neue" w:hAnsi="Helvetica Neue" w:cs="Arial"/>
        </w:rPr>
        <w:t>state-licensed”). This restriction does not apply to any required display of license or permit numbers.</w:t>
      </w:r>
    </w:p>
    <w:p w14:paraId="23E256A0" w14:textId="77777777" w:rsidR="005A40E9" w:rsidRPr="001115C5" w:rsidRDefault="00890A97" w:rsidP="00064063">
      <w:pPr>
        <w:pStyle w:val="ListParagraph"/>
        <w:numPr>
          <w:ilvl w:val="0"/>
          <w:numId w:val="24"/>
        </w:numPr>
        <w:spacing w:after="240"/>
        <w:ind w:left="360"/>
        <w:contextualSpacing w:val="0"/>
        <w:rPr>
          <w:rFonts w:ascii="Helvetica Neue" w:hAnsi="Helvetica Neue" w:cs="Arial"/>
        </w:rPr>
      </w:pPr>
      <w:r w:rsidRPr="001115C5">
        <w:rPr>
          <w:rFonts w:ascii="Helvetica Neue" w:hAnsi="Helvetica Neue" w:cs="Arial"/>
        </w:rPr>
        <w:t xml:space="preserve">Advertising and Marketing materials in </w:t>
      </w:r>
      <w:r w:rsidR="008B35D9" w:rsidRPr="001115C5">
        <w:rPr>
          <w:rFonts w:ascii="Helvetica Neue" w:hAnsi="Helvetica Neue" w:cs="Arial"/>
          <w:color w:val="FF0000"/>
        </w:rPr>
        <w:t>[City/County]</w:t>
      </w:r>
      <w:r w:rsidRPr="001115C5">
        <w:rPr>
          <w:rFonts w:ascii="Helvetica Neue" w:hAnsi="Helvetica Neue" w:cs="Arial"/>
        </w:rPr>
        <w:t xml:space="preserve"> for adult-use Cannabis or Cannabis Products, brands, licensees, or commercial cannabis-related services may not include claims of health, therapeutic or curative effects of Cannabis or Cannabis Products, including without limitation health and medical claims and structure and function claims as defined by the Food and Drug Administration and the Federal Trade Commission.</w:t>
      </w:r>
    </w:p>
    <w:p w14:paraId="6D9452DA" w14:textId="77777777" w:rsidR="005A40E9" w:rsidRPr="001115C5" w:rsidRDefault="00890A97" w:rsidP="00064063">
      <w:pPr>
        <w:pStyle w:val="ListParagraph"/>
        <w:numPr>
          <w:ilvl w:val="0"/>
          <w:numId w:val="24"/>
        </w:numPr>
        <w:spacing w:after="240"/>
        <w:ind w:left="360"/>
        <w:contextualSpacing w:val="0"/>
        <w:rPr>
          <w:rFonts w:ascii="Helvetica Neue" w:hAnsi="Helvetica Neue" w:cs="Arial"/>
        </w:rPr>
      </w:pPr>
      <w:r w:rsidRPr="001115C5">
        <w:rPr>
          <w:rFonts w:ascii="Helvetica Neue" w:hAnsi="Helvetica Neue" w:cs="Arial"/>
        </w:rPr>
        <w:t xml:space="preserve">Products that may not be sold in </w:t>
      </w:r>
      <w:r w:rsidR="008B35D9" w:rsidRPr="001115C5">
        <w:rPr>
          <w:rFonts w:ascii="Helvetica Neue" w:hAnsi="Helvetica Neue" w:cs="Arial"/>
          <w:color w:val="FF0000"/>
        </w:rPr>
        <w:t>[City/County]</w:t>
      </w:r>
      <w:r w:rsidRPr="001115C5">
        <w:rPr>
          <w:rFonts w:ascii="Helvetica Neue" w:hAnsi="Helvetica Neue" w:cs="Arial"/>
        </w:rPr>
        <w:t xml:space="preserve"> may not be Advertised in </w:t>
      </w:r>
      <w:r w:rsidR="008B35D9" w:rsidRPr="001115C5">
        <w:rPr>
          <w:rFonts w:ascii="Helvetica Neue" w:hAnsi="Helvetica Neue" w:cs="Arial"/>
          <w:color w:val="FF0000"/>
        </w:rPr>
        <w:t>[City/County]</w:t>
      </w:r>
      <w:r w:rsidRPr="001115C5">
        <w:rPr>
          <w:rFonts w:ascii="Helvetica Neue" w:hAnsi="Helvetica Neue" w:cs="Arial"/>
        </w:rPr>
        <w:t>.</w:t>
      </w:r>
    </w:p>
    <w:p w14:paraId="1DAB684F" w14:textId="77777777" w:rsidR="005A40E9" w:rsidRPr="001115C5" w:rsidRDefault="00890A97" w:rsidP="00064063">
      <w:pPr>
        <w:pStyle w:val="ListParagraph"/>
        <w:numPr>
          <w:ilvl w:val="0"/>
          <w:numId w:val="24"/>
        </w:numPr>
        <w:spacing w:after="240"/>
        <w:ind w:left="360"/>
        <w:contextualSpacing w:val="0"/>
        <w:rPr>
          <w:rFonts w:ascii="Helvetica Neue" w:hAnsi="Helvetica Neue" w:cs="Arial"/>
        </w:rPr>
      </w:pPr>
      <w:r w:rsidRPr="001115C5">
        <w:rPr>
          <w:rFonts w:ascii="Helvetica Neue" w:hAnsi="Helvetica Neue" w:cs="Arial"/>
        </w:rPr>
        <w:t xml:space="preserve">Advertising and Marketing materials in </w:t>
      </w:r>
      <w:r w:rsidR="008B35D9" w:rsidRPr="001115C5">
        <w:rPr>
          <w:rFonts w:ascii="Helvetica Neue" w:hAnsi="Helvetica Neue" w:cs="Arial"/>
          <w:color w:val="FF0000"/>
        </w:rPr>
        <w:t>[City/County]</w:t>
      </w:r>
      <w:r w:rsidRPr="001115C5">
        <w:rPr>
          <w:rFonts w:ascii="Helvetica Neue" w:hAnsi="Helvetica Neue" w:cs="Arial"/>
        </w:rPr>
        <w:t xml:space="preserve"> for Cannabis and Cannabis Products, brands, licensees, or commercial cannabis-related services may not be Attractive to Youth.</w:t>
      </w:r>
    </w:p>
    <w:p w14:paraId="5250D627" w14:textId="213587E7" w:rsidR="00C91C45" w:rsidRPr="001115C5" w:rsidRDefault="00890A97" w:rsidP="00064063">
      <w:pPr>
        <w:pStyle w:val="ListParagraph"/>
        <w:numPr>
          <w:ilvl w:val="0"/>
          <w:numId w:val="24"/>
        </w:numPr>
        <w:spacing w:after="240"/>
        <w:ind w:left="360"/>
        <w:contextualSpacing w:val="0"/>
        <w:rPr>
          <w:rFonts w:ascii="Helvetica Neue" w:hAnsi="Helvetica Neue" w:cs="Arial"/>
        </w:rPr>
      </w:pPr>
      <w:r w:rsidRPr="001115C5">
        <w:rPr>
          <w:rFonts w:ascii="Helvetica Neue" w:hAnsi="Helvetica Neue" w:cs="Arial"/>
        </w:rPr>
        <w:t xml:space="preserve">Advertising and Marketing materials in </w:t>
      </w:r>
      <w:r w:rsidR="008B35D9" w:rsidRPr="001115C5">
        <w:rPr>
          <w:rFonts w:ascii="Helvetica Neue" w:hAnsi="Helvetica Neue" w:cs="Arial"/>
          <w:color w:val="FF0000"/>
        </w:rPr>
        <w:t>[City/County]</w:t>
      </w:r>
      <w:r w:rsidRPr="001115C5">
        <w:rPr>
          <w:rFonts w:ascii="Helvetica Neue" w:hAnsi="Helvetica Neue" w:cs="Arial"/>
        </w:rPr>
        <w:t xml:space="preserve"> for Cannabis and Cannabis Products, brands, licensees, or commercial cannabis-related services may not depict activities or conditions risky when under the influence of Cannabis, including operating a motorized vehicle, pregnancy, breastfeeding or other activities specifically identified in written guidelines adopted by the </w:t>
      </w:r>
      <w:r w:rsidRPr="001115C5">
        <w:rPr>
          <w:rFonts w:ascii="Helvetica Neue" w:hAnsi="Helvetica Neue" w:cs="Arial"/>
          <w:color w:val="FF0000"/>
        </w:rPr>
        <w:t>Department</w:t>
      </w:r>
      <w:r w:rsidRPr="001115C5">
        <w:rPr>
          <w:rFonts w:ascii="Helvetica Neue" w:hAnsi="Helvetica Neue" w:cs="Arial"/>
        </w:rPr>
        <w:t xml:space="preserve"> for the enforcement of this section.</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890A97" w:rsidRPr="001115C5" w14:paraId="0EEB0ACF" w14:textId="77777777" w:rsidTr="00895773">
        <w:tc>
          <w:tcPr>
            <w:tcW w:w="10188" w:type="dxa"/>
            <w:shd w:val="clear" w:color="auto" w:fill="D9D9D9" w:themeFill="background1" w:themeFillShade="D9"/>
          </w:tcPr>
          <w:p w14:paraId="07A20ABF" w14:textId="119E41D9" w:rsidR="00890A97" w:rsidRPr="001115C5" w:rsidRDefault="00890A97" w:rsidP="00890A97">
            <w:pPr>
              <w:spacing w:before="240" w:after="120" w:line="360" w:lineRule="auto"/>
              <w:rPr>
                <w:rFonts w:ascii="Helvetica Neue" w:eastAsia="Helvetica Neue" w:hAnsi="Helvetica Neue" w:cs="Arial"/>
              </w:rPr>
            </w:pPr>
            <w:r w:rsidRPr="001115C5">
              <w:rPr>
                <w:rFonts w:ascii="Helvetica Neue" w:eastAsia="Helvetica Neue" w:hAnsi="Helvetica Neue" w:cs="Arial"/>
                <w:b/>
                <w:bCs/>
              </w:rPr>
              <w:lastRenderedPageBreak/>
              <w:t>COMMENT</w:t>
            </w:r>
            <w:r w:rsidRPr="001115C5">
              <w:rPr>
                <w:rFonts w:ascii="Helvetica Neue" w:eastAsia="Helvetica Neue" w:hAnsi="Helvetica Neue" w:cs="Arial"/>
              </w:rPr>
              <w:t>: Note that any jurisdiction that does not allow the sale of Cannabis and Cannabis Products may likely ban local Advertising for those items without fear of violating the First Amendment. Note in addition that, if a jurisdiction does not allow the sale of specific Cannabis Products (for example, Cannabis beverages or highly potent shatter), it may likely prohibit Advertising for those Products. While state regulations do raise important prohibitions on untrue or misleading health-related statements, given that there is not currently an objective scientific system or infrastructure in place for assessing the validity of health, curative or therapeutic claims for Cannabis — such as exists, for example, for FDA-approved medications — we recommend not permitting any such health, curative or therapeutic claims, at least on products sold for adult-use transactions. State Law prohibits advertising or marketing Cannabis or Cannabis Products so as to encourage youth under 21 years to consume Cannabis or Cannabis Products (Business and Professions Code section 26152(f)).</w:t>
            </w:r>
          </w:p>
          <w:p w14:paraId="33F5318F" w14:textId="0814930D" w:rsidR="00890A97" w:rsidRPr="001115C5" w:rsidRDefault="00890A97" w:rsidP="00890A97">
            <w:pPr>
              <w:spacing w:before="120" w:after="120" w:line="360" w:lineRule="auto"/>
              <w:rPr>
                <w:rFonts w:ascii="Helvetica Neue" w:eastAsia="Helvetica Neue" w:hAnsi="Helvetica Neue" w:cs="Arial"/>
              </w:rPr>
            </w:pPr>
            <w:r w:rsidRPr="001115C5">
              <w:rPr>
                <w:rFonts w:ascii="Helvetica Neue" w:eastAsia="Helvetica Neue" w:hAnsi="Helvetica Neue" w:cs="Arial"/>
              </w:rPr>
              <w:t>Jurisdictions that already have policies in place restricting what types of Advertising may appear on public property like buses, trains and transit shelters may choose to add Cannabis Advertising to the list of prohibited Advertising.</w:t>
            </w:r>
          </w:p>
          <w:p w14:paraId="697B01DA" w14:textId="7797217B" w:rsidR="00890A97" w:rsidRPr="001115C5" w:rsidRDefault="00890A97" w:rsidP="00890A97">
            <w:pPr>
              <w:spacing w:before="120" w:after="120" w:line="360" w:lineRule="auto"/>
              <w:rPr>
                <w:rFonts w:ascii="Helvetica Neue" w:eastAsia="Helvetica Neue" w:hAnsi="Helvetica Neue" w:cs="Arial"/>
              </w:rPr>
            </w:pPr>
            <w:r w:rsidRPr="001115C5">
              <w:rPr>
                <w:rFonts w:ascii="Helvetica Neue" w:eastAsia="Helvetica Neue" w:hAnsi="Helvetica Neue" w:cs="Arial"/>
              </w:rPr>
              <w:t>We have not covered television/radio advertising here because local governments generally do not regulate these media. In relation to broadcast issues not addressed here, State law requires no more than 28.4 percent of the audience to reasonably be expected to be under age 21, as determined by reliable, up-to-date audience composition data (section 26151(b) of the Business &amp; Professions Code). The 28.4% standard is drawn from the voluntary alcohol industry codes</w:t>
            </w:r>
            <w:r w:rsidR="00B4349C">
              <w:rPr>
                <w:rStyle w:val="FootnoteReference"/>
                <w:rFonts w:ascii="Helvetica Neue" w:eastAsia="Helvetica Neue" w:hAnsi="Helvetica Neue" w:cs="Arial"/>
              </w:rPr>
              <w:footnoteReference w:id="106"/>
            </w:r>
            <w:r w:rsidRPr="001115C5">
              <w:rPr>
                <w:rFonts w:ascii="Helvetica Neue" w:eastAsia="Helvetica Neue" w:hAnsi="Helvetica Neue" w:cs="Arial"/>
              </w:rPr>
              <w:t xml:space="preserve"> and has been well documented in the alcohol policy literature to be ineffective in protecting youth from overexposure to alcohol advertising.</w:t>
            </w:r>
            <w:r w:rsidR="00B4349C">
              <w:rPr>
                <w:rStyle w:val="FootnoteReference"/>
                <w:rFonts w:ascii="Helvetica Neue" w:eastAsia="Helvetica Neue" w:hAnsi="Helvetica Neue" w:cs="Arial"/>
              </w:rPr>
              <w:footnoteReference w:id="107"/>
            </w:r>
            <w:r w:rsidRPr="001115C5">
              <w:rPr>
                <w:rFonts w:ascii="Helvetica Neue" w:eastAsia="Helvetica Neue" w:hAnsi="Helvetica Neue" w:cs="Arial"/>
              </w:rPr>
              <w:t xml:space="preserve"> We also know that exposure to alcohol advertising is associated with a decreased perception of risk of use.</w:t>
            </w:r>
            <w:r w:rsidR="00B4349C">
              <w:rPr>
                <w:rStyle w:val="FootnoteReference"/>
                <w:rFonts w:ascii="Helvetica Neue" w:eastAsia="Helvetica Neue" w:hAnsi="Helvetica Neue" w:cs="Arial"/>
              </w:rPr>
              <w:footnoteReference w:id="108"/>
            </w:r>
            <w:r w:rsidRPr="001115C5">
              <w:rPr>
                <w:rFonts w:ascii="Helvetica Neue" w:eastAsia="Helvetica Neue" w:hAnsi="Helvetica Neue" w:cs="Arial"/>
              </w:rPr>
              <w:t xml:space="preserve"> A complete prohibition on broadcast </w:t>
            </w:r>
            <w:r w:rsidRPr="001115C5">
              <w:rPr>
                <w:rFonts w:ascii="Helvetica Neue" w:eastAsia="Helvetica Neue" w:hAnsi="Helvetica Neue" w:cs="Arial"/>
              </w:rPr>
              <w:lastRenderedPageBreak/>
              <w:t>advertising would be ideal, or at a minimum a 15% standard limited to those age 12–20 and would focus on those youth most vulnerable and most exposed to this kind of advertising. The 15% standard is recommended by the National Research Council/Institute of Medicine’s report on underage drinking commissioned by Congress,</w:t>
            </w:r>
            <w:r w:rsidR="00B4349C">
              <w:rPr>
                <w:rStyle w:val="FootnoteReference"/>
                <w:rFonts w:ascii="Helvetica Neue" w:eastAsia="Helvetica Neue" w:hAnsi="Helvetica Neue" w:cs="Arial"/>
              </w:rPr>
              <w:footnoteReference w:id="109"/>
            </w:r>
            <w:r w:rsidRPr="001115C5">
              <w:rPr>
                <w:rFonts w:ascii="Helvetica Neue" w:eastAsia="Helvetica Neue" w:hAnsi="Helvetica Neue" w:cs="Arial"/>
              </w:rPr>
              <w:t xml:space="preserve"> and the adoption of this standard was recommended by the state’s Cannabis Advisory Committee. Research has shown this more restrictive threshold does not have a major effect on the industry’s ability to reach adult consumers.</w:t>
            </w:r>
            <w:r w:rsidR="00B4349C">
              <w:rPr>
                <w:rStyle w:val="FootnoteReference"/>
                <w:rFonts w:ascii="Helvetica Neue" w:eastAsia="Helvetica Neue" w:hAnsi="Helvetica Neue" w:cs="Arial"/>
              </w:rPr>
              <w:footnoteReference w:id="110"/>
            </w:r>
            <w:r w:rsidRPr="001115C5">
              <w:rPr>
                <w:rFonts w:ascii="Helvetica Neue" w:eastAsia="Helvetica Neue" w:hAnsi="Helvetica Neue" w:cs="Arial"/>
              </w:rPr>
              <w:t xml:space="preserve"> Ideally these limits should be based on local audience data, as research has shown that national-level audience data is inconsistent with local markets, resulting in youth being overexposed to Advertising in some places.</w:t>
            </w:r>
            <w:r w:rsidR="00B4349C">
              <w:rPr>
                <w:rStyle w:val="FootnoteReference"/>
                <w:rFonts w:ascii="Helvetica Neue" w:eastAsia="Helvetica Neue" w:hAnsi="Helvetica Neue" w:cs="Arial"/>
              </w:rPr>
              <w:footnoteReference w:id="111"/>
            </w:r>
          </w:p>
          <w:p w14:paraId="266F17A6" w14:textId="2F02EA47" w:rsidR="00890A97" w:rsidRPr="001115C5" w:rsidRDefault="00890A97" w:rsidP="00890A97">
            <w:pPr>
              <w:spacing w:before="120" w:after="120" w:line="360" w:lineRule="auto"/>
              <w:rPr>
                <w:rFonts w:ascii="Helvetica Neue" w:eastAsia="Helvetica Neue" w:hAnsi="Helvetica Neue" w:cs="Arial"/>
              </w:rPr>
            </w:pPr>
            <w:r w:rsidRPr="001115C5">
              <w:rPr>
                <w:rFonts w:ascii="Helvetica Neue" w:eastAsia="Helvetica Neue" w:hAnsi="Helvetica Neue" w:cs="Arial"/>
              </w:rPr>
              <w:t>However, we do not now recommend local governments regulate broadcast or electronic media. Section 843 of the Federal Controlled Substances Act (21 USC § 843(c)) makes it unlawful for any person to place in any newspaper, magazine, handbill, or other publication, any written advertisement knowing that it has the purpose of seeking or offering illegally to receive, buy, or distribute a Schedule I controlled substance (including Cannabis) though this contradicts current state law, thereby creating a difficult legal quandary.</w:t>
            </w:r>
          </w:p>
        </w:tc>
      </w:tr>
    </w:tbl>
    <w:p w14:paraId="0476F310" w14:textId="77777777" w:rsidR="005A40E9" w:rsidRPr="001115C5" w:rsidRDefault="00890A97" w:rsidP="00064063">
      <w:pPr>
        <w:pStyle w:val="ListParagraph"/>
        <w:numPr>
          <w:ilvl w:val="0"/>
          <w:numId w:val="24"/>
        </w:numPr>
        <w:spacing w:before="480" w:after="240"/>
        <w:ind w:left="360"/>
        <w:contextualSpacing w:val="0"/>
        <w:rPr>
          <w:rFonts w:ascii="Helvetica Neue" w:hAnsi="Helvetica Neue" w:cs="Arial"/>
        </w:rPr>
      </w:pPr>
      <w:r w:rsidRPr="001115C5">
        <w:rPr>
          <w:rFonts w:ascii="Helvetica Neue" w:hAnsi="Helvetica Neue" w:cs="Arial"/>
          <w:b/>
          <w:bCs/>
        </w:rPr>
        <w:lastRenderedPageBreak/>
        <w:t>OPTION</w:t>
      </w:r>
      <w:r w:rsidRPr="001115C5">
        <w:rPr>
          <w:rFonts w:ascii="Helvetica Neue" w:hAnsi="Helvetica Neue" w:cs="Arial"/>
        </w:rPr>
        <w:t>: Advertising and Marketing materials may not:</w:t>
      </w:r>
    </w:p>
    <w:p w14:paraId="0F67E4E4" w14:textId="77777777" w:rsidR="005A40E9" w:rsidRPr="001115C5" w:rsidRDefault="00890A97" w:rsidP="00064063">
      <w:pPr>
        <w:pStyle w:val="ListParagraph"/>
        <w:numPr>
          <w:ilvl w:val="1"/>
          <w:numId w:val="24"/>
        </w:numPr>
        <w:spacing w:after="240"/>
        <w:ind w:left="792"/>
        <w:contextualSpacing w:val="0"/>
        <w:rPr>
          <w:rFonts w:ascii="Helvetica Neue" w:hAnsi="Helvetica Neue" w:cs="Arial"/>
        </w:rPr>
      </w:pPr>
      <w:r w:rsidRPr="001115C5">
        <w:rPr>
          <w:rFonts w:ascii="Helvetica Neue" w:hAnsi="Helvetica Neue" w:cs="Arial"/>
        </w:rPr>
        <w:t xml:space="preserve">Display consumption of Cannabis or Cannabis </w:t>
      </w:r>
      <w:proofErr w:type="gramStart"/>
      <w:r w:rsidRPr="001115C5">
        <w:rPr>
          <w:rFonts w:ascii="Helvetica Neue" w:hAnsi="Helvetica Neue" w:cs="Arial"/>
        </w:rPr>
        <w:t>Products;</w:t>
      </w:r>
      <w:proofErr w:type="gramEnd"/>
    </w:p>
    <w:p w14:paraId="7908B8BA" w14:textId="77777777" w:rsidR="005A40E9" w:rsidRPr="001115C5" w:rsidRDefault="00890A97" w:rsidP="00064063">
      <w:pPr>
        <w:pStyle w:val="ListParagraph"/>
        <w:numPr>
          <w:ilvl w:val="1"/>
          <w:numId w:val="24"/>
        </w:numPr>
        <w:spacing w:after="240"/>
        <w:ind w:left="792"/>
        <w:contextualSpacing w:val="0"/>
        <w:rPr>
          <w:rFonts w:ascii="Helvetica Neue" w:hAnsi="Helvetica Neue" w:cs="Arial"/>
        </w:rPr>
      </w:pPr>
      <w:r w:rsidRPr="001115C5">
        <w:rPr>
          <w:rFonts w:ascii="Helvetica Neue" w:hAnsi="Helvetica Neue" w:cs="Arial"/>
        </w:rPr>
        <w:t xml:space="preserve">Encourage the use of Cannabis because of its intoxicating </w:t>
      </w:r>
      <w:proofErr w:type="gramStart"/>
      <w:r w:rsidRPr="001115C5">
        <w:rPr>
          <w:rFonts w:ascii="Helvetica Neue" w:hAnsi="Helvetica Neue" w:cs="Arial"/>
        </w:rPr>
        <w:t>effect;</w:t>
      </w:r>
      <w:proofErr w:type="gramEnd"/>
    </w:p>
    <w:p w14:paraId="213A600C" w14:textId="77777777" w:rsidR="005A40E9" w:rsidRPr="001115C5" w:rsidRDefault="00890A97" w:rsidP="00064063">
      <w:pPr>
        <w:pStyle w:val="ListParagraph"/>
        <w:numPr>
          <w:ilvl w:val="1"/>
          <w:numId w:val="24"/>
        </w:numPr>
        <w:spacing w:after="240"/>
        <w:ind w:left="792"/>
        <w:contextualSpacing w:val="0"/>
        <w:rPr>
          <w:rFonts w:ascii="Helvetica Neue" w:hAnsi="Helvetica Neue" w:cs="Arial"/>
        </w:rPr>
      </w:pPr>
      <w:r w:rsidRPr="001115C5">
        <w:rPr>
          <w:rFonts w:ascii="Helvetica Neue" w:hAnsi="Helvetica Neue" w:cs="Arial"/>
        </w:rPr>
        <w:t xml:space="preserve">Encourage excessive or rapid consumption of Cannabis or Cannabis </w:t>
      </w:r>
      <w:proofErr w:type="gramStart"/>
      <w:r w:rsidRPr="001115C5">
        <w:rPr>
          <w:rFonts w:ascii="Helvetica Neue" w:hAnsi="Helvetica Neue" w:cs="Arial"/>
        </w:rPr>
        <w:t>Products;</w:t>
      </w:r>
      <w:proofErr w:type="gramEnd"/>
    </w:p>
    <w:p w14:paraId="05814C42" w14:textId="77777777" w:rsidR="005A40E9" w:rsidRPr="001115C5" w:rsidRDefault="00890A97" w:rsidP="00064063">
      <w:pPr>
        <w:pStyle w:val="ListParagraph"/>
        <w:numPr>
          <w:ilvl w:val="1"/>
          <w:numId w:val="24"/>
        </w:numPr>
        <w:spacing w:after="240"/>
        <w:ind w:left="792"/>
        <w:contextualSpacing w:val="0"/>
        <w:rPr>
          <w:rFonts w:ascii="Helvetica Neue" w:hAnsi="Helvetica Neue" w:cs="Arial"/>
        </w:rPr>
      </w:pPr>
      <w:r w:rsidRPr="001115C5">
        <w:rPr>
          <w:rFonts w:ascii="Helvetica Neue" w:hAnsi="Helvetica Neue" w:cs="Arial"/>
        </w:rPr>
        <w:t>Include claims, beyond listing the product’s cannabinoid content, that are related to potency, strength, or the product’s intoxicating effects “high;” or</w:t>
      </w:r>
    </w:p>
    <w:p w14:paraId="31B28470" w14:textId="31F0FF5C" w:rsidR="00890A97" w:rsidRPr="001115C5" w:rsidRDefault="00890A97" w:rsidP="00064063">
      <w:pPr>
        <w:pStyle w:val="ListParagraph"/>
        <w:numPr>
          <w:ilvl w:val="1"/>
          <w:numId w:val="24"/>
        </w:numPr>
        <w:spacing w:after="240"/>
        <w:ind w:left="792"/>
        <w:contextualSpacing w:val="0"/>
        <w:rPr>
          <w:rFonts w:ascii="Helvetica Neue" w:hAnsi="Helvetica Neue" w:cs="Arial"/>
        </w:rPr>
      </w:pPr>
      <w:r w:rsidRPr="001115C5">
        <w:rPr>
          <w:rFonts w:ascii="Helvetica Neue" w:hAnsi="Helvetica Neue" w:cs="Arial"/>
        </w:rPr>
        <w:lastRenderedPageBreak/>
        <w:t>Claims or terms such as “natural” or “organic” aside from instances where the terms are used in an ingredient list to describe an added non-Cannabis ingredient.</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890A97" w:rsidRPr="001115C5" w14:paraId="64A59F8E" w14:textId="77777777" w:rsidTr="00895773">
        <w:tc>
          <w:tcPr>
            <w:tcW w:w="10188" w:type="dxa"/>
            <w:shd w:val="clear" w:color="auto" w:fill="D9D9D9" w:themeFill="background1" w:themeFillShade="D9"/>
          </w:tcPr>
          <w:p w14:paraId="77C1E61B" w14:textId="175B9315" w:rsidR="00890A97" w:rsidRPr="001115C5" w:rsidRDefault="00890A97" w:rsidP="00895773">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Measures similar to (6)(b) and (c) are in effect for alcohol advertising and marketing through voluntary industry standards. These restrictions, along with (6)(a) and (d), call for the adoption of familiar and commonsense standards, but may nonetheless be subject to First Amendment challenge as prior restraints on lawful speech.</w:t>
            </w:r>
          </w:p>
        </w:tc>
      </w:tr>
    </w:tbl>
    <w:p w14:paraId="18A32E3D" w14:textId="7417F7C7" w:rsidR="00890A97" w:rsidRPr="001115C5" w:rsidRDefault="00890A97" w:rsidP="002F25A1">
      <w:pPr>
        <w:pStyle w:val="Heading3"/>
        <w:spacing w:before="480" w:after="240"/>
        <w:rPr>
          <w:rFonts w:ascii="Helvetica Neue" w:hAnsi="Helvetica Neue"/>
        </w:rPr>
      </w:pPr>
      <w:bookmarkStart w:id="27" w:name="_Toc65578312"/>
      <w:r w:rsidRPr="001115C5">
        <w:rPr>
          <w:rFonts w:ascii="Helvetica Neue" w:hAnsi="Helvetica Neue"/>
        </w:rPr>
        <w:t>Section C. Restrictions on Branded Merchandise.</w:t>
      </w:r>
      <w:bookmarkEnd w:id="27"/>
    </w:p>
    <w:p w14:paraId="0346CC05" w14:textId="133AC495" w:rsidR="00890A97" w:rsidRPr="001115C5" w:rsidRDefault="00890A97" w:rsidP="00064063">
      <w:pPr>
        <w:pStyle w:val="ListParagraph"/>
        <w:numPr>
          <w:ilvl w:val="0"/>
          <w:numId w:val="25"/>
        </w:numPr>
        <w:spacing w:after="240"/>
        <w:ind w:left="360"/>
        <w:rPr>
          <w:rFonts w:ascii="Helvetica Neue" w:hAnsi="Helvetica Neue" w:cs="Arial"/>
        </w:rPr>
      </w:pPr>
      <w:r w:rsidRPr="001115C5">
        <w:rPr>
          <w:rFonts w:ascii="Helvetica Neue" w:hAnsi="Helvetica Neue" w:cs="Arial"/>
        </w:rPr>
        <w:t>No Cannabis Retailer, Cannabis manufacturer, Cannabis cultivator, Cannabis or Cannabis Product or commercial Cannabis-related service brand identification, including logos, trademarks or tradenames, may be used or licensed for use on clothing, toys, stickers, games, or game equipment, or other items that are typically marketed primarily to or used primarily by youth under 21, or that are Attractive to Youth.</w:t>
      </w:r>
    </w:p>
    <w:p w14:paraId="7A671499" w14:textId="572BD957" w:rsidR="00890A97" w:rsidRPr="001115C5" w:rsidRDefault="00890A97" w:rsidP="002F25A1">
      <w:pPr>
        <w:pStyle w:val="Heading3"/>
        <w:spacing w:before="480" w:after="240"/>
        <w:rPr>
          <w:rFonts w:ascii="Helvetica Neue" w:hAnsi="Helvetica Neue"/>
        </w:rPr>
      </w:pPr>
      <w:bookmarkStart w:id="28" w:name="_Toc65578313"/>
      <w:r w:rsidRPr="001115C5">
        <w:rPr>
          <w:rFonts w:ascii="Helvetica Neue" w:hAnsi="Helvetica Neue"/>
        </w:rPr>
        <w:t>Section D. (OPTION) Warning Label Requirements.</w:t>
      </w:r>
      <w:bookmarkEnd w:id="28"/>
    </w:p>
    <w:p w14:paraId="6A5B5D52" w14:textId="16F86B0F" w:rsidR="00890A97" w:rsidRPr="001115C5" w:rsidRDefault="00890A97" w:rsidP="00064063">
      <w:pPr>
        <w:pStyle w:val="ListParagraph"/>
        <w:numPr>
          <w:ilvl w:val="0"/>
          <w:numId w:val="26"/>
        </w:numPr>
        <w:spacing w:after="240"/>
        <w:ind w:left="360"/>
        <w:contextualSpacing w:val="0"/>
        <w:rPr>
          <w:rFonts w:ascii="Helvetica Neue" w:hAnsi="Helvetica Neue" w:cs="Arial"/>
        </w:rPr>
      </w:pPr>
      <w:r w:rsidRPr="001115C5">
        <w:rPr>
          <w:rFonts w:ascii="Helvetica Neue" w:hAnsi="Helvetica Neue" w:cs="Arial"/>
        </w:rPr>
        <w:t xml:space="preserve">Any Person who posts or who causes to be posted an Advertisement for a Cannabis Retailer, Cannabis manufacturer, Cannabis cultivator, Cannabis or a Cannabis Product in </w:t>
      </w:r>
      <w:r w:rsidR="008B35D9" w:rsidRPr="001115C5">
        <w:rPr>
          <w:rFonts w:ascii="Helvetica Neue" w:hAnsi="Helvetica Neue" w:cs="Arial"/>
          <w:color w:val="FF0000"/>
        </w:rPr>
        <w:t>[City/County]</w:t>
      </w:r>
      <w:r w:rsidRPr="001115C5">
        <w:rPr>
          <w:rFonts w:ascii="Helvetica Neue" w:hAnsi="Helvetica Neue" w:cs="Arial"/>
        </w:rPr>
        <w:t xml:space="preserve"> that is any of the following: (a) on paper, poster, or a billboard; (b) in or on a stadium, arena, transit shelter, or any other structure; (c) in or on a bus, car, train, pedicab, or any other vehicle; or (d) on a wall, or any other surface or material, must place the following warning in the Advertisement:</w:t>
      </w:r>
    </w:p>
    <w:p w14:paraId="090E34F2" w14:textId="5D25A7DA" w:rsidR="00890A97" w:rsidRPr="001115C5" w:rsidRDefault="00890A97" w:rsidP="002F25A1">
      <w:pPr>
        <w:spacing w:after="240"/>
        <w:ind w:left="360"/>
        <w:rPr>
          <w:rFonts w:ascii="Helvetica Neue" w:hAnsi="Helvetica Neue" w:cs="Arial"/>
        </w:rPr>
      </w:pPr>
      <w:r w:rsidRPr="001115C5">
        <w:rPr>
          <w:rFonts w:ascii="Helvetica Neue" w:hAnsi="Helvetica Neue" w:cs="Arial"/>
        </w:rPr>
        <w:t>“WARNING:” followed by one of the statements below followed by “THIS IS A GOVERNMENT HEALTH WARNING”</w:t>
      </w:r>
    </w:p>
    <w:p w14:paraId="526422BF" w14:textId="77777777" w:rsidR="002F25A1" w:rsidRPr="001115C5" w:rsidRDefault="00890A97" w:rsidP="00064063">
      <w:pPr>
        <w:pStyle w:val="ListParagraph"/>
        <w:numPr>
          <w:ilvl w:val="0"/>
          <w:numId w:val="27"/>
        </w:numPr>
        <w:spacing w:after="240"/>
        <w:ind w:left="792"/>
        <w:contextualSpacing w:val="0"/>
        <w:rPr>
          <w:rFonts w:ascii="Helvetica Neue" w:hAnsi="Helvetica Neue" w:cs="Arial"/>
        </w:rPr>
      </w:pPr>
      <w:r w:rsidRPr="001115C5">
        <w:rPr>
          <w:rFonts w:ascii="Helvetica Neue" w:hAnsi="Helvetica Neue" w:cs="Arial"/>
        </w:rPr>
        <w:t>Are you pregnant or breastfeeding? According to the Centers for Disease Control, marijuana use during pregnancy can be harmful to your baby’s health, including causing low birth weight and developmental problems.</w:t>
      </w:r>
    </w:p>
    <w:p w14:paraId="6BF5FFEB" w14:textId="77777777" w:rsidR="002F25A1" w:rsidRPr="001115C5" w:rsidRDefault="00890A97" w:rsidP="00064063">
      <w:pPr>
        <w:pStyle w:val="ListParagraph"/>
        <w:numPr>
          <w:ilvl w:val="0"/>
          <w:numId w:val="27"/>
        </w:numPr>
        <w:spacing w:after="240"/>
        <w:ind w:left="792"/>
        <w:contextualSpacing w:val="0"/>
        <w:rPr>
          <w:rFonts w:ascii="Helvetica Neue" w:hAnsi="Helvetica Neue" w:cs="Arial"/>
        </w:rPr>
      </w:pPr>
      <w:r w:rsidRPr="001115C5">
        <w:rPr>
          <w:rFonts w:ascii="Helvetica Neue" w:hAnsi="Helvetica Neue" w:cs="Arial"/>
        </w:rPr>
        <w:t>Driving while high is a DUI. Marijuana use increases your risk of motor vehicle crashes.</w:t>
      </w:r>
    </w:p>
    <w:p w14:paraId="6DF10533" w14:textId="77777777" w:rsidR="002F25A1" w:rsidRPr="001115C5" w:rsidRDefault="00890A97" w:rsidP="00064063">
      <w:pPr>
        <w:pStyle w:val="ListParagraph"/>
        <w:numPr>
          <w:ilvl w:val="0"/>
          <w:numId w:val="27"/>
        </w:numPr>
        <w:spacing w:after="240"/>
        <w:ind w:left="792"/>
        <w:contextualSpacing w:val="0"/>
        <w:rPr>
          <w:rFonts w:ascii="Helvetica Neue" w:hAnsi="Helvetica Neue" w:cs="Arial"/>
        </w:rPr>
      </w:pPr>
      <w:r w:rsidRPr="001115C5">
        <w:rPr>
          <w:rFonts w:ascii="Helvetica Neue" w:hAnsi="Helvetica Neue" w:cs="Arial"/>
        </w:rPr>
        <w:t>Not for Kids or Teens! Starting marijuana use young or using frequently may lead to problem use and, according to the Surgeon General, may harm the developing teen brain.</w:t>
      </w:r>
    </w:p>
    <w:p w14:paraId="38FC1C25" w14:textId="77777777" w:rsidR="002F25A1" w:rsidRPr="001115C5" w:rsidRDefault="00890A97" w:rsidP="00064063">
      <w:pPr>
        <w:pStyle w:val="ListParagraph"/>
        <w:numPr>
          <w:ilvl w:val="0"/>
          <w:numId w:val="27"/>
        </w:numPr>
        <w:spacing w:after="240"/>
        <w:ind w:left="792"/>
        <w:contextualSpacing w:val="0"/>
        <w:rPr>
          <w:rFonts w:ascii="Helvetica Neue" w:hAnsi="Helvetica Neue" w:cs="Arial"/>
        </w:rPr>
      </w:pPr>
      <w:r w:rsidRPr="001115C5">
        <w:rPr>
          <w:rFonts w:ascii="Helvetica Neue" w:hAnsi="Helvetica Neue" w:cs="Arial"/>
        </w:rPr>
        <w:t>Marijuana use may be associated with greater risk of developing schizophrenia or other psychoses. Risk is highest for frequent users.</w:t>
      </w:r>
    </w:p>
    <w:p w14:paraId="09957BD7" w14:textId="7C8943D4" w:rsidR="00890A97" w:rsidRPr="001115C5" w:rsidRDefault="00890A97" w:rsidP="00064063">
      <w:pPr>
        <w:pStyle w:val="ListParagraph"/>
        <w:numPr>
          <w:ilvl w:val="0"/>
          <w:numId w:val="27"/>
        </w:numPr>
        <w:spacing w:after="240"/>
        <w:ind w:left="792"/>
        <w:contextualSpacing w:val="0"/>
        <w:rPr>
          <w:rFonts w:ascii="Helvetica Neue" w:hAnsi="Helvetica Neue" w:cs="Arial"/>
        </w:rPr>
      </w:pPr>
      <w:r w:rsidRPr="001115C5">
        <w:rPr>
          <w:rFonts w:ascii="Helvetica Neue" w:hAnsi="Helvetica Neue" w:cs="Arial"/>
        </w:rPr>
        <w:lastRenderedPageBreak/>
        <w:t>Smoking marijuana long term may make breathing problems worse and vaping marijuana has been associated with lung disease.</w:t>
      </w:r>
    </w:p>
    <w:p w14:paraId="58754BA5" w14:textId="77777777" w:rsidR="002F25A1" w:rsidRPr="001115C5" w:rsidRDefault="00890A97" w:rsidP="00064063">
      <w:pPr>
        <w:pStyle w:val="ListParagraph"/>
        <w:numPr>
          <w:ilvl w:val="0"/>
          <w:numId w:val="26"/>
        </w:numPr>
        <w:spacing w:after="240"/>
        <w:ind w:left="360"/>
        <w:contextualSpacing w:val="0"/>
        <w:rPr>
          <w:rFonts w:ascii="Helvetica Neue" w:hAnsi="Helvetica Neue" w:cs="Arial"/>
        </w:rPr>
      </w:pPr>
      <w:r w:rsidRPr="001115C5">
        <w:rPr>
          <w:rFonts w:ascii="Helvetica Neue" w:hAnsi="Helvetica Neue" w:cs="Arial"/>
        </w:rPr>
        <w:t>Advertisements must include messages “(a)” through “(e)” above in equal and rotating proportion such that each message receives approximately the same audience exposure for any given Advertisement during the use of that Advertisement.</w:t>
      </w:r>
    </w:p>
    <w:p w14:paraId="4FFEA119" w14:textId="77777777" w:rsidR="002F25A1" w:rsidRPr="001115C5" w:rsidRDefault="00890A97" w:rsidP="00064063">
      <w:pPr>
        <w:pStyle w:val="ListParagraph"/>
        <w:numPr>
          <w:ilvl w:val="0"/>
          <w:numId w:val="26"/>
        </w:numPr>
        <w:spacing w:after="240"/>
        <w:ind w:left="360"/>
        <w:contextualSpacing w:val="0"/>
        <w:rPr>
          <w:rFonts w:ascii="Helvetica Neue" w:hAnsi="Helvetica Neue" w:cs="Arial"/>
        </w:rPr>
      </w:pPr>
      <w:r w:rsidRPr="001115C5">
        <w:rPr>
          <w:rFonts w:ascii="Helvetica Neue" w:hAnsi="Helvetica Neue" w:cs="Arial"/>
        </w:rPr>
        <w:t>The warning must be enclosed in a box occupying at least 15% of the area of the Advertisement.</w:t>
      </w:r>
    </w:p>
    <w:p w14:paraId="4F7C89DE" w14:textId="7BDC5D92" w:rsidR="00890A97" w:rsidRPr="001115C5" w:rsidRDefault="00890A97" w:rsidP="00064063">
      <w:pPr>
        <w:pStyle w:val="ListParagraph"/>
        <w:numPr>
          <w:ilvl w:val="0"/>
          <w:numId w:val="26"/>
        </w:numPr>
        <w:spacing w:after="240"/>
        <w:ind w:left="360"/>
        <w:contextualSpacing w:val="0"/>
        <w:rPr>
          <w:rFonts w:ascii="Helvetica Neue" w:hAnsi="Helvetica Neue" w:cs="Arial"/>
        </w:rPr>
      </w:pPr>
      <w:r w:rsidRPr="001115C5">
        <w:rPr>
          <w:rFonts w:ascii="Helvetica Neue" w:hAnsi="Helvetica Neue" w:cs="Arial"/>
        </w:rPr>
        <w:t>The warning box must use black type on a yellow background with a black border, and the text must be printed in a size and font that is clearly legible to viewers of the Advertisement. The text of the warning must be positioned so that the warning has the same orientation as the other information in the Advertisement (i.e., left to right, or bottom to top).</w:t>
      </w:r>
    </w:p>
    <w:tbl>
      <w:tblPr>
        <w:tblStyle w:val="TableGrid"/>
        <w:tblpPr w:leftFromText="180" w:rightFromText="180" w:vertAnchor="text" w:horzAnchor="margin" w:tblpX="108" w:tblpY="114"/>
        <w:tblW w:w="0" w:type="auto"/>
        <w:tblLook w:val="04A0" w:firstRow="1" w:lastRow="0" w:firstColumn="1" w:lastColumn="0" w:noHBand="0" w:noVBand="1"/>
      </w:tblPr>
      <w:tblGrid>
        <w:gridCol w:w="10070"/>
      </w:tblGrid>
      <w:tr w:rsidR="00890A97" w:rsidRPr="001115C5" w14:paraId="6A2C5BCB" w14:textId="77777777" w:rsidTr="00895773">
        <w:tc>
          <w:tcPr>
            <w:tcW w:w="10188" w:type="dxa"/>
            <w:shd w:val="clear" w:color="auto" w:fill="D9D9D9" w:themeFill="background1" w:themeFillShade="D9"/>
          </w:tcPr>
          <w:p w14:paraId="2F49254B" w14:textId="68987C55" w:rsidR="00890A97" w:rsidRPr="001115C5" w:rsidRDefault="00890A97" w:rsidP="00890A97">
            <w:pPr>
              <w:spacing w:before="240" w:after="120" w:line="360" w:lineRule="auto"/>
              <w:rPr>
                <w:rFonts w:ascii="Helvetica Neue" w:eastAsia="Helvetica Neue" w:hAnsi="Helvetica Neue" w:cs="Arial"/>
              </w:rPr>
            </w:pPr>
            <w:r w:rsidRPr="001115C5">
              <w:rPr>
                <w:rFonts w:ascii="Helvetica Neue" w:eastAsia="Helvetica Neue" w:hAnsi="Helvetica Neue" w:cs="Arial"/>
                <w:b/>
                <w:bCs/>
              </w:rPr>
              <w:t>COMMENT</w:t>
            </w:r>
            <w:r w:rsidRPr="001115C5">
              <w:rPr>
                <w:rFonts w:ascii="Helvetica Neue" w:eastAsia="Helvetica Neue" w:hAnsi="Helvetica Neue" w:cs="Arial"/>
              </w:rPr>
              <w:t>: Local government is on surer legal footing addressing exclusively local Advertising. We have not addressed television/radio advertising in this Model Ordinance because local governments generally do not regulate these media.</w:t>
            </w:r>
          </w:p>
          <w:p w14:paraId="3DEEB439" w14:textId="4899FACA" w:rsidR="00890A97" w:rsidRPr="001115C5" w:rsidRDefault="00890A97" w:rsidP="00890A97">
            <w:pPr>
              <w:spacing w:before="120" w:after="120" w:line="360" w:lineRule="auto"/>
              <w:rPr>
                <w:rFonts w:ascii="Helvetica Neue" w:eastAsia="Helvetica Neue" w:hAnsi="Helvetica Neue" w:cs="Arial"/>
              </w:rPr>
            </w:pPr>
            <w:r w:rsidRPr="001115C5">
              <w:rPr>
                <w:rFonts w:ascii="Helvetica Neue" w:eastAsia="Helvetica Neue" w:hAnsi="Helvetica Neue" w:cs="Arial"/>
              </w:rPr>
              <w:t>California state law does not require warnings on Advertisements for Cannabis or Cannabis Products however Alaska, Maine, Michigan, Oregon, Washington, Nevada and Massachusetts do. Similar warnings on Advertisements for tobacco and pharmaceuticals have become well accepted both politically and legally. California law requires that all Cannabis and Cannabis Product labels and inserts include a prescribed warning label (Business &amp; Professions Code section 26120(c)); the recommendation here extends the requirement to Advertisements and improves the warning label language for clarity and scientific accuracy. Rotating the message improves audience recall. These factual statements are based on findings by the National Academy of Sciences, Engineering and Medicine (NASEM) or the Centers for Disease Control and Prevention (CDC), and focus on those findings for which NASEM found “substantial evidence.”</w:t>
            </w:r>
          </w:p>
          <w:p w14:paraId="2321FE7A" w14:textId="0984BB83" w:rsidR="00890A97" w:rsidRPr="001115C5" w:rsidRDefault="00890A97" w:rsidP="00890A97">
            <w:pPr>
              <w:spacing w:before="120" w:after="120" w:line="360" w:lineRule="auto"/>
              <w:rPr>
                <w:rFonts w:ascii="Helvetica Neue" w:eastAsia="Helvetica Neue" w:hAnsi="Helvetica Neue" w:cs="Arial"/>
              </w:rPr>
            </w:pPr>
            <w:r w:rsidRPr="001115C5">
              <w:rPr>
                <w:rFonts w:ascii="Helvetica Neue" w:eastAsia="Helvetica Neue" w:hAnsi="Helvetica Neue" w:cs="Arial"/>
              </w:rPr>
              <w:t xml:space="preserve">Billboards had been a major problem in California especially after State regulations weakened Prop 64 restrictions on billboards on highways. However, the least controversial way to avoid the </w:t>
            </w:r>
            <w:r w:rsidRPr="001115C5">
              <w:rPr>
                <w:rFonts w:ascii="Helvetica Neue" w:eastAsia="Helvetica Neue" w:hAnsi="Helvetica Neue" w:cs="Arial"/>
              </w:rPr>
              <w:lastRenderedPageBreak/>
              <w:t>presence of cannabis billboards in your community is to have a general prohibition on billboards for aesthetic or safety reasons. These have generally withstood scrutiny.</w:t>
            </w:r>
          </w:p>
        </w:tc>
      </w:tr>
    </w:tbl>
    <w:p w14:paraId="34BDE1FA" w14:textId="01E1EB56" w:rsidR="00890A97" w:rsidRPr="001115C5" w:rsidRDefault="00890A97" w:rsidP="002F25A1">
      <w:pPr>
        <w:pStyle w:val="Heading3"/>
        <w:spacing w:before="480" w:after="240"/>
        <w:rPr>
          <w:rFonts w:ascii="Helvetica Neue" w:hAnsi="Helvetica Neue"/>
        </w:rPr>
      </w:pPr>
      <w:bookmarkStart w:id="29" w:name="_Toc65578314"/>
      <w:r w:rsidRPr="001115C5">
        <w:rPr>
          <w:rFonts w:ascii="Helvetica Neue" w:hAnsi="Helvetica Neue"/>
        </w:rPr>
        <w:lastRenderedPageBreak/>
        <w:t>Section E. General Requirements.</w:t>
      </w:r>
      <w:bookmarkEnd w:id="29"/>
    </w:p>
    <w:p w14:paraId="5C95A858" w14:textId="77777777" w:rsidR="002F25A1" w:rsidRPr="001115C5" w:rsidRDefault="00890A97" w:rsidP="00064063">
      <w:pPr>
        <w:pStyle w:val="ListParagraph"/>
        <w:numPr>
          <w:ilvl w:val="0"/>
          <w:numId w:val="28"/>
        </w:numPr>
        <w:spacing w:after="240"/>
        <w:ind w:left="360"/>
        <w:rPr>
          <w:rFonts w:ascii="Helvetica Neue" w:hAnsi="Helvetica Neue" w:cs="Arial"/>
        </w:rPr>
      </w:pPr>
      <w:r w:rsidRPr="001115C5">
        <w:rPr>
          <w:rFonts w:ascii="Helvetica Neue" w:hAnsi="Helvetica Neue" w:cs="Arial"/>
        </w:rPr>
        <w:t xml:space="preserve">The </w:t>
      </w:r>
      <w:r w:rsidRPr="001115C5">
        <w:rPr>
          <w:rFonts w:ascii="Helvetica Neue" w:hAnsi="Helvetica Neue" w:cs="Arial"/>
          <w:color w:val="FF0000"/>
        </w:rPr>
        <w:t>Department</w:t>
      </w:r>
      <w:r w:rsidRPr="001115C5">
        <w:rPr>
          <w:rFonts w:ascii="Helvetica Neue" w:hAnsi="Helvetica Neue" w:cs="Arial"/>
        </w:rPr>
        <w:t xml:space="preserve"> shall review and, in its discretion, update the language of the required warnings on packages and on in-store signs as often as needed to conform to current public health science and other objective information, and in no event less often than once every three years.</w:t>
      </w:r>
    </w:p>
    <w:p w14:paraId="4AF6B68E" w14:textId="77777777" w:rsidR="002F25A1" w:rsidRPr="001115C5" w:rsidRDefault="00890A97" w:rsidP="00064063">
      <w:pPr>
        <w:pStyle w:val="ListParagraph"/>
        <w:numPr>
          <w:ilvl w:val="0"/>
          <w:numId w:val="28"/>
        </w:numPr>
        <w:spacing w:after="240"/>
        <w:ind w:left="360"/>
        <w:rPr>
          <w:rFonts w:ascii="Helvetica Neue" w:hAnsi="Helvetica Neue" w:cs="Arial"/>
        </w:rPr>
      </w:pPr>
      <w:r w:rsidRPr="001115C5">
        <w:rPr>
          <w:rFonts w:ascii="Helvetica Neue" w:hAnsi="Helvetica Neue" w:cs="Arial"/>
          <w:b/>
          <w:bCs/>
        </w:rPr>
        <w:t>Removal of Non-Conforming Advertising or Marketing</w:t>
      </w:r>
      <w:r w:rsidRPr="001115C5">
        <w:rPr>
          <w:rFonts w:ascii="Helvetica Neue" w:hAnsi="Helvetica Neue" w:cs="Arial"/>
        </w:rPr>
        <w:t xml:space="preserve">. A Person must remove any Advertising Sign, display, or Advertisement if the </w:t>
      </w:r>
      <w:r w:rsidRPr="001115C5">
        <w:rPr>
          <w:rFonts w:ascii="Helvetica Neue" w:hAnsi="Helvetica Neue" w:cs="Arial"/>
          <w:color w:val="FF0000"/>
        </w:rPr>
        <w:t>Department</w:t>
      </w:r>
      <w:r w:rsidRPr="001115C5">
        <w:rPr>
          <w:rFonts w:ascii="Helvetica Neue" w:hAnsi="Helvetica Neue" w:cs="Arial"/>
        </w:rPr>
        <w:t xml:space="preserve"> finds it violates this </w:t>
      </w:r>
      <w:r w:rsidR="008B35D9" w:rsidRPr="001115C5">
        <w:rPr>
          <w:rFonts w:ascii="Helvetica Neue" w:hAnsi="Helvetica Neue" w:cs="Arial"/>
          <w:color w:val="FF0000"/>
        </w:rPr>
        <w:t>[Article/Chapter]</w:t>
      </w:r>
      <w:r w:rsidRPr="001115C5">
        <w:rPr>
          <w:rFonts w:ascii="Helvetica Neue" w:hAnsi="Helvetica Neue" w:cs="Arial"/>
        </w:rPr>
        <w:t xml:space="preserve">. The </w:t>
      </w:r>
      <w:r w:rsidRPr="001115C5">
        <w:rPr>
          <w:rFonts w:ascii="Helvetica Neue" w:hAnsi="Helvetica Neue" w:cs="Arial"/>
          <w:color w:val="FF0000"/>
        </w:rPr>
        <w:t>Department</w:t>
      </w:r>
      <w:r w:rsidRPr="001115C5">
        <w:rPr>
          <w:rFonts w:ascii="Helvetica Neue" w:hAnsi="Helvetica Neue" w:cs="Arial"/>
        </w:rPr>
        <w:t xml:space="preserve"> will notify the Person of the violation and specify a reasonable time in which to remove the relevant Advertising sign, display or Advertisement.</w:t>
      </w:r>
    </w:p>
    <w:p w14:paraId="15CE72D9" w14:textId="1B37E91D" w:rsidR="00890A97" w:rsidRPr="001115C5" w:rsidRDefault="00890A97" w:rsidP="00064063">
      <w:pPr>
        <w:pStyle w:val="ListParagraph"/>
        <w:numPr>
          <w:ilvl w:val="0"/>
          <w:numId w:val="28"/>
        </w:numPr>
        <w:spacing w:after="240"/>
        <w:ind w:left="360"/>
        <w:rPr>
          <w:rFonts w:ascii="Helvetica Neue" w:hAnsi="Helvetica Neue" w:cs="Arial"/>
        </w:rPr>
      </w:pPr>
      <w:r w:rsidRPr="001115C5">
        <w:rPr>
          <w:rFonts w:ascii="Helvetica Neue" w:hAnsi="Helvetica Neue" w:cs="Arial"/>
        </w:rPr>
        <w:t>The provisions of this section apply to Advertising or Marketing by any Person containing the business name of any cultivator, manufacturer or Retailer of any Cannabis or Cannabis Product, or the product, denomination of origin or strain name of any Cannabis or Cannabis Product, or general messages promoting Cannabis or Cannabis Products.</w:t>
      </w:r>
    </w:p>
    <w:p w14:paraId="48903CF0" w14:textId="3EB08DF3" w:rsidR="00890A97" w:rsidRPr="001115C5" w:rsidRDefault="00890A97" w:rsidP="002F25A1">
      <w:pPr>
        <w:pStyle w:val="Heading3"/>
        <w:spacing w:before="480" w:after="240"/>
        <w:rPr>
          <w:rFonts w:ascii="Helvetica Neue" w:hAnsi="Helvetica Neue"/>
        </w:rPr>
      </w:pPr>
      <w:bookmarkStart w:id="30" w:name="_Toc65578315"/>
      <w:r w:rsidRPr="001115C5">
        <w:rPr>
          <w:rFonts w:ascii="Helvetica Neue" w:hAnsi="Helvetica Neue"/>
        </w:rPr>
        <w:t>Section F. Enforcement and Penalties.</w:t>
      </w:r>
      <w:bookmarkEnd w:id="30"/>
    </w:p>
    <w:p w14:paraId="0237187F" w14:textId="2FA5F3E2" w:rsidR="002F25A1" w:rsidRPr="001115C5" w:rsidRDefault="00890A97" w:rsidP="00064063">
      <w:pPr>
        <w:pStyle w:val="ListParagraph"/>
        <w:numPr>
          <w:ilvl w:val="0"/>
          <w:numId w:val="29"/>
        </w:numPr>
        <w:spacing w:after="240"/>
        <w:ind w:left="360"/>
        <w:rPr>
          <w:rFonts w:ascii="Helvetica Neue" w:hAnsi="Helvetica Neue" w:cs="Arial"/>
        </w:rPr>
      </w:pPr>
      <w:r w:rsidRPr="001115C5">
        <w:rPr>
          <w:rFonts w:ascii="Helvetica Neue" w:hAnsi="Helvetica Neue" w:cs="Arial"/>
        </w:rPr>
        <w:t xml:space="preserve">The remedies provided by this </w:t>
      </w:r>
      <w:r w:rsidR="008B35D9" w:rsidRPr="001115C5">
        <w:rPr>
          <w:rFonts w:ascii="Helvetica Neue" w:hAnsi="Helvetica Neue" w:cs="Arial"/>
          <w:color w:val="FF0000"/>
        </w:rPr>
        <w:t>[Article/Chapter]</w:t>
      </w:r>
      <w:r w:rsidRPr="001115C5">
        <w:rPr>
          <w:rFonts w:ascii="Helvetica Neue" w:hAnsi="Helvetica Neue" w:cs="Arial"/>
        </w:rPr>
        <w:t xml:space="preserve"> are cumulative and in addition to any other remedies available at law or in equity; no election of remedies shall apply, provided only that no sum due the </w:t>
      </w:r>
      <w:r w:rsidR="00E04A35" w:rsidRPr="001115C5">
        <w:rPr>
          <w:rFonts w:ascii="Helvetica Neue" w:hAnsi="Helvetica Neue" w:cs="Arial"/>
          <w:color w:val="FF0000"/>
        </w:rPr>
        <w:t>[City/County]</w:t>
      </w:r>
      <w:r w:rsidRPr="001115C5">
        <w:rPr>
          <w:rFonts w:ascii="Helvetica Neue" w:hAnsi="Helvetica Neue" w:cs="Arial"/>
        </w:rPr>
        <w:t xml:space="preserve"> under this </w:t>
      </w:r>
      <w:r w:rsidR="008B35D9" w:rsidRPr="001115C5">
        <w:rPr>
          <w:rFonts w:ascii="Helvetica Neue" w:hAnsi="Helvetica Neue" w:cs="Arial"/>
          <w:color w:val="FF0000"/>
        </w:rPr>
        <w:t>[Article/Chapter]</w:t>
      </w:r>
      <w:r w:rsidRPr="001115C5">
        <w:rPr>
          <w:rFonts w:ascii="Helvetica Neue" w:hAnsi="Helvetica Neue" w:cs="Arial"/>
        </w:rPr>
        <w:t xml:space="preserve"> may be recovered more than once except as permitted by applicable law, such as Business &amp; Professions Code section 17082 or Government Code section 38773.7.</w:t>
      </w:r>
    </w:p>
    <w:p w14:paraId="5AE66DB1" w14:textId="77777777" w:rsidR="002F25A1" w:rsidRPr="001115C5" w:rsidRDefault="00890A97" w:rsidP="00064063">
      <w:pPr>
        <w:pStyle w:val="ListParagraph"/>
        <w:numPr>
          <w:ilvl w:val="0"/>
          <w:numId w:val="29"/>
        </w:numPr>
        <w:spacing w:after="240"/>
        <w:ind w:left="360"/>
        <w:rPr>
          <w:rFonts w:ascii="Helvetica Neue" w:hAnsi="Helvetica Neue" w:cs="Arial"/>
        </w:rPr>
      </w:pPr>
      <w:r w:rsidRPr="001115C5">
        <w:rPr>
          <w:rFonts w:ascii="Helvetica Neue" w:hAnsi="Helvetica Neue" w:cs="Arial"/>
        </w:rPr>
        <w:t xml:space="preserve">Violations of this </w:t>
      </w:r>
      <w:r w:rsidR="008B35D9" w:rsidRPr="001115C5">
        <w:rPr>
          <w:rFonts w:ascii="Helvetica Neue" w:hAnsi="Helvetica Neue" w:cs="Arial"/>
          <w:color w:val="FF0000"/>
        </w:rPr>
        <w:t>[Article/Chapter]</w:t>
      </w:r>
      <w:r w:rsidRPr="001115C5">
        <w:rPr>
          <w:rFonts w:ascii="Helvetica Neue" w:hAnsi="Helvetica Neue" w:cs="Arial"/>
        </w:rPr>
        <w:t xml:space="preserve"> may, in the discretion of the </w:t>
      </w:r>
      <w:r w:rsidRPr="001115C5">
        <w:rPr>
          <w:rFonts w:ascii="Helvetica Neue" w:hAnsi="Helvetica Neue" w:cs="Arial"/>
          <w:color w:val="FF0000"/>
        </w:rPr>
        <w:t>[City Prosecutor/District Attorney]</w:t>
      </w:r>
      <w:r w:rsidRPr="001115C5">
        <w:rPr>
          <w:rFonts w:ascii="Helvetica Neue" w:hAnsi="Helvetica Neue" w:cs="Arial"/>
        </w:rPr>
        <w:t>, be prosecuted as infractions rather than misdemeanors when the interests of justice so require.</w:t>
      </w:r>
    </w:p>
    <w:p w14:paraId="4C8E52DA" w14:textId="77777777" w:rsidR="002F25A1" w:rsidRPr="001115C5" w:rsidRDefault="00890A97" w:rsidP="00064063">
      <w:pPr>
        <w:pStyle w:val="ListParagraph"/>
        <w:numPr>
          <w:ilvl w:val="0"/>
          <w:numId w:val="29"/>
        </w:numPr>
        <w:spacing w:after="240"/>
        <w:ind w:left="360"/>
        <w:rPr>
          <w:rFonts w:ascii="Helvetica Neue" w:hAnsi="Helvetica Neue" w:cs="Arial"/>
        </w:rPr>
      </w:pPr>
      <w:r w:rsidRPr="001115C5">
        <w:rPr>
          <w:rFonts w:ascii="Helvetica Neue" w:hAnsi="Helvetica Neue" w:cs="Arial"/>
        </w:rPr>
        <w:t xml:space="preserve">Violations of this </w:t>
      </w:r>
      <w:r w:rsidR="008B35D9" w:rsidRPr="001115C5">
        <w:rPr>
          <w:rFonts w:ascii="Helvetica Neue" w:hAnsi="Helvetica Neue" w:cs="Arial"/>
          <w:color w:val="FF0000"/>
        </w:rPr>
        <w:t>[Article/Chapter]</w:t>
      </w:r>
      <w:r w:rsidRPr="001115C5">
        <w:rPr>
          <w:rFonts w:ascii="Helvetica Neue" w:hAnsi="Helvetica Neue" w:cs="Arial"/>
        </w:rPr>
        <w:t xml:space="preserve"> are subject to a civil action brought by the </w:t>
      </w:r>
      <w:r w:rsidRPr="001115C5">
        <w:rPr>
          <w:rFonts w:ascii="Helvetica Neue" w:hAnsi="Helvetica Neue" w:cs="Arial"/>
          <w:color w:val="FF0000"/>
        </w:rPr>
        <w:t>[City Prosecutor/District Attorney]</w:t>
      </w:r>
      <w:r w:rsidRPr="001115C5">
        <w:rPr>
          <w:rFonts w:ascii="Helvetica Neue" w:hAnsi="Helvetica Neue" w:cs="Arial"/>
        </w:rPr>
        <w:t xml:space="preserve"> or the </w:t>
      </w:r>
      <w:r w:rsidRPr="001115C5">
        <w:rPr>
          <w:rFonts w:ascii="Helvetica Neue" w:hAnsi="Helvetica Neue" w:cs="Arial"/>
          <w:color w:val="FF0000"/>
        </w:rPr>
        <w:t>[City Attorney/County Counsel]</w:t>
      </w:r>
      <w:r w:rsidRPr="001115C5">
        <w:rPr>
          <w:rFonts w:ascii="Helvetica Neue" w:hAnsi="Helvetica Neue" w:cs="Arial"/>
        </w:rPr>
        <w:t>, punishable by a civil fine not less than $250 and not exceeding $1,000 per violation.</w:t>
      </w:r>
    </w:p>
    <w:p w14:paraId="308186AF" w14:textId="77777777" w:rsidR="002F25A1" w:rsidRPr="001115C5" w:rsidRDefault="00890A97" w:rsidP="00064063">
      <w:pPr>
        <w:pStyle w:val="ListParagraph"/>
        <w:numPr>
          <w:ilvl w:val="0"/>
          <w:numId w:val="29"/>
        </w:numPr>
        <w:spacing w:after="240"/>
        <w:ind w:left="360"/>
        <w:rPr>
          <w:rFonts w:ascii="Helvetica Neue" w:hAnsi="Helvetica Neue" w:cs="Arial"/>
        </w:rPr>
      </w:pPr>
      <w:r w:rsidRPr="001115C5">
        <w:rPr>
          <w:rFonts w:ascii="Helvetica Neue" w:hAnsi="Helvetica Neue" w:cs="Arial"/>
        </w:rPr>
        <w:t xml:space="preserve">For the purposes of the civil remedies provided in this </w:t>
      </w:r>
      <w:r w:rsidR="008B35D9" w:rsidRPr="001115C5">
        <w:rPr>
          <w:rFonts w:ascii="Helvetica Neue" w:hAnsi="Helvetica Neue" w:cs="Arial"/>
          <w:color w:val="FF0000"/>
        </w:rPr>
        <w:t>[Article/Chapter</w:t>
      </w:r>
      <w:proofErr w:type="gramStart"/>
      <w:r w:rsidR="008B35D9" w:rsidRPr="001115C5">
        <w:rPr>
          <w:rFonts w:ascii="Helvetica Neue" w:hAnsi="Helvetica Neue" w:cs="Arial"/>
          <w:color w:val="FF0000"/>
        </w:rPr>
        <w:t>]</w:t>
      </w:r>
      <w:r w:rsidRPr="001115C5">
        <w:rPr>
          <w:rFonts w:ascii="Helvetica Neue" w:hAnsi="Helvetica Neue" w:cs="Arial"/>
        </w:rPr>
        <w:t>;</w:t>
      </w:r>
      <w:proofErr w:type="gramEnd"/>
    </w:p>
    <w:p w14:paraId="52B63263" w14:textId="77777777" w:rsidR="002F25A1" w:rsidRPr="001115C5" w:rsidRDefault="00890A97" w:rsidP="00064063">
      <w:pPr>
        <w:pStyle w:val="ListParagraph"/>
        <w:numPr>
          <w:ilvl w:val="1"/>
          <w:numId w:val="29"/>
        </w:numPr>
        <w:spacing w:after="240"/>
        <w:ind w:left="792"/>
        <w:rPr>
          <w:rFonts w:ascii="Helvetica Neue" w:hAnsi="Helvetica Neue" w:cs="Arial"/>
        </w:rPr>
      </w:pPr>
      <w:r w:rsidRPr="001115C5">
        <w:rPr>
          <w:rFonts w:ascii="Helvetica Neue" w:hAnsi="Helvetica Neue" w:cs="Arial"/>
        </w:rPr>
        <w:t xml:space="preserve">Each day on which Cannabis or a Cannabis Product is advertised in violation of this </w:t>
      </w:r>
      <w:r w:rsidR="008B35D9" w:rsidRPr="001115C5">
        <w:rPr>
          <w:rFonts w:ascii="Helvetica Neue" w:hAnsi="Helvetica Neue" w:cs="Arial"/>
          <w:color w:val="FF0000"/>
        </w:rPr>
        <w:t>[Article/Chapter]</w:t>
      </w:r>
      <w:r w:rsidRPr="001115C5">
        <w:rPr>
          <w:rFonts w:ascii="Helvetica Neue" w:hAnsi="Helvetica Neue" w:cs="Arial"/>
        </w:rPr>
        <w:t>; or</w:t>
      </w:r>
    </w:p>
    <w:p w14:paraId="4D17AE92" w14:textId="197C5ADB" w:rsidR="00890A97" w:rsidRPr="001115C5" w:rsidRDefault="00890A97" w:rsidP="00064063">
      <w:pPr>
        <w:pStyle w:val="ListParagraph"/>
        <w:numPr>
          <w:ilvl w:val="1"/>
          <w:numId w:val="29"/>
        </w:numPr>
        <w:spacing w:after="240"/>
        <w:ind w:left="792"/>
        <w:rPr>
          <w:rFonts w:ascii="Helvetica Neue" w:hAnsi="Helvetica Neue" w:cs="Arial"/>
        </w:rPr>
      </w:pPr>
      <w:r w:rsidRPr="001115C5">
        <w:rPr>
          <w:rFonts w:ascii="Helvetica Neue" w:hAnsi="Helvetica Neue" w:cs="Arial"/>
        </w:rPr>
        <w:t xml:space="preserve">Each individual instance of advertising of Cannabis or Cannabis Product in violation of this </w:t>
      </w:r>
      <w:r w:rsidR="008B35D9" w:rsidRPr="001115C5">
        <w:rPr>
          <w:rFonts w:ascii="Helvetica Neue" w:hAnsi="Helvetica Neue" w:cs="Arial"/>
          <w:color w:val="FF0000"/>
        </w:rPr>
        <w:t>[Article/Chapter]</w:t>
      </w:r>
      <w:r w:rsidRPr="001115C5">
        <w:rPr>
          <w:rFonts w:ascii="Helvetica Neue" w:hAnsi="Helvetica Neue" w:cs="Arial"/>
        </w:rPr>
        <w:t xml:space="preserve"> shall constitute a separate violation of this </w:t>
      </w:r>
      <w:r w:rsidR="008B35D9" w:rsidRPr="001115C5">
        <w:rPr>
          <w:rFonts w:ascii="Helvetica Neue" w:hAnsi="Helvetica Neue" w:cs="Arial"/>
          <w:color w:val="FF0000"/>
        </w:rPr>
        <w:t>[Article/Chapter]</w:t>
      </w:r>
      <w:r w:rsidRPr="001115C5">
        <w:rPr>
          <w:rFonts w:ascii="Helvetica Neue" w:hAnsi="Helvetica Neue" w:cs="Arial"/>
        </w:rPr>
        <w:t>.</w:t>
      </w:r>
    </w:p>
    <w:p w14:paraId="75922118" w14:textId="19E7B32C" w:rsidR="00890A97" w:rsidRPr="001115C5" w:rsidRDefault="00890A97" w:rsidP="00064063">
      <w:pPr>
        <w:pStyle w:val="ListParagraph"/>
        <w:numPr>
          <w:ilvl w:val="0"/>
          <w:numId w:val="29"/>
        </w:numPr>
        <w:spacing w:after="240"/>
        <w:ind w:left="360"/>
        <w:rPr>
          <w:rFonts w:ascii="Helvetica Neue" w:hAnsi="Helvetica Neue" w:cs="Arial"/>
        </w:rPr>
      </w:pPr>
      <w:r w:rsidRPr="001115C5">
        <w:rPr>
          <w:rFonts w:ascii="Helvetica Neue" w:hAnsi="Helvetica Neue" w:cs="Arial"/>
        </w:rPr>
        <w:t xml:space="preserve">Violations of this </w:t>
      </w:r>
      <w:r w:rsidR="008B35D9" w:rsidRPr="001115C5">
        <w:rPr>
          <w:rFonts w:ascii="Helvetica Neue" w:hAnsi="Helvetica Neue" w:cs="Arial"/>
          <w:color w:val="FF0000"/>
        </w:rPr>
        <w:t>[Article/Chapter]</w:t>
      </w:r>
      <w:r w:rsidRPr="001115C5">
        <w:rPr>
          <w:rFonts w:ascii="Helvetica Neue" w:hAnsi="Helvetica Neue" w:cs="Arial"/>
        </w:rPr>
        <w:t xml:space="preserve"> are hereby declared to be public nuisances. In addition to other remedies provided by this </w:t>
      </w:r>
      <w:r w:rsidR="008B35D9" w:rsidRPr="001115C5">
        <w:rPr>
          <w:rFonts w:ascii="Helvetica Neue" w:hAnsi="Helvetica Neue" w:cs="Arial"/>
          <w:color w:val="FF0000"/>
        </w:rPr>
        <w:t>[Article/Chapter]</w:t>
      </w:r>
      <w:r w:rsidRPr="001115C5">
        <w:rPr>
          <w:rFonts w:ascii="Helvetica Neue" w:hAnsi="Helvetica Neue" w:cs="Arial"/>
        </w:rPr>
        <w:t xml:space="preserve"> or by other law, any violation of this </w:t>
      </w:r>
      <w:r w:rsidR="008B35D9" w:rsidRPr="001115C5">
        <w:rPr>
          <w:rFonts w:ascii="Helvetica Neue" w:hAnsi="Helvetica Neue" w:cs="Arial"/>
          <w:color w:val="FF0000"/>
        </w:rPr>
        <w:t>[Article/Chapter]</w:t>
      </w:r>
      <w:r w:rsidRPr="001115C5">
        <w:rPr>
          <w:rFonts w:ascii="Helvetica Neue" w:hAnsi="Helvetica Neue" w:cs="Arial"/>
        </w:rPr>
        <w:t xml:space="preserve"> may be remedied by a civil action brought by the </w:t>
      </w:r>
      <w:r w:rsidRPr="001115C5">
        <w:rPr>
          <w:rFonts w:ascii="Helvetica Neue" w:hAnsi="Helvetica Neue" w:cs="Arial"/>
          <w:color w:val="FF0000"/>
        </w:rPr>
        <w:t>[City Attorney/County Counsel]</w:t>
      </w:r>
      <w:r w:rsidRPr="001115C5">
        <w:rPr>
          <w:rFonts w:ascii="Helvetica Neue" w:hAnsi="Helvetica Neue" w:cs="Arial"/>
        </w:rPr>
        <w:t xml:space="preserve">, including, for example, </w:t>
      </w:r>
      <w:r w:rsidRPr="001115C5">
        <w:rPr>
          <w:rFonts w:ascii="Helvetica Neue" w:hAnsi="Helvetica Neue" w:cs="Arial"/>
        </w:rPr>
        <w:lastRenderedPageBreak/>
        <w:t>administrative or judicial nuisance abatement proceedings, civil or criminal code enforcement proceedings, and suits for injunctive relief.</w:t>
      </w:r>
    </w:p>
    <w:p w14:paraId="3062CEFF" w14:textId="44E17976" w:rsidR="00615B95" w:rsidRPr="001115C5" w:rsidRDefault="00890A97" w:rsidP="006718C2">
      <w:pPr>
        <w:pStyle w:val="Heading2"/>
        <w:spacing w:before="360" w:after="240"/>
        <w:rPr>
          <w:rStyle w:val="Heading3Char"/>
          <w:rFonts w:ascii="Helvetica Neue" w:hAnsi="Helvetica Neue"/>
        </w:rPr>
      </w:pPr>
      <w:bookmarkStart w:id="31" w:name="_Toc65578316"/>
      <w:r w:rsidRPr="001115C5">
        <w:rPr>
          <w:rStyle w:val="Heading3Char"/>
          <w:rFonts w:ascii="Helvetica Neue" w:hAnsi="Helvetica Neue"/>
        </w:rPr>
        <w:t xml:space="preserve">SECTION </w:t>
      </w:r>
      <w:r w:rsidR="006718C2" w:rsidRPr="001115C5">
        <w:rPr>
          <w:rStyle w:val="Heading3Char"/>
          <w:rFonts w:ascii="Helvetica Neue" w:hAnsi="Helvetica Neue"/>
        </w:rPr>
        <w:t>IV</w:t>
      </w:r>
      <w:r w:rsidRPr="001115C5">
        <w:rPr>
          <w:rStyle w:val="Heading3Char"/>
          <w:rFonts w:ascii="Helvetica Neue" w:hAnsi="Helvetica Neue"/>
        </w:rPr>
        <w:t>. SEVERABILITY</w:t>
      </w:r>
      <w:bookmarkEnd w:id="31"/>
    </w:p>
    <w:p w14:paraId="607B6CFE" w14:textId="378F4C92" w:rsidR="00123D19" w:rsidRPr="001115C5" w:rsidRDefault="00890A97" w:rsidP="00123D19">
      <w:pPr>
        <w:spacing w:after="240"/>
        <w:rPr>
          <w:rFonts w:ascii="Helvetica Neue" w:hAnsi="Helvetica Neue" w:cs="Arial"/>
        </w:rPr>
      </w:pPr>
      <w:r w:rsidRPr="001115C5">
        <w:rPr>
          <w:rFonts w:ascii="Helvetica Neue" w:hAnsi="Helvetica Neue" w:cs="Arial"/>
        </w:rPr>
        <w:t xml:space="preserve">If any section, subsection, subdivision, paragraph, sentence, clause or phrase of this Ordinance, or its application to any person or circumstance, is for any reason held to be invalid or unenforceable, such invalidity or unenforceability shall not affect the validity or enforceability of the remaining sections, subsections, subdivisions, paragraphs, sentences, clauses or phrases of this Ordinance, or its application to any other person or circumstance. The </w:t>
      </w:r>
      <w:r w:rsidRPr="001115C5">
        <w:rPr>
          <w:rFonts w:ascii="Helvetica Neue" w:hAnsi="Helvetica Neue" w:cs="Arial"/>
          <w:color w:val="FF0000"/>
        </w:rPr>
        <w:t>[Board of Supervisors/City Council]</w:t>
      </w:r>
      <w:r w:rsidRPr="001115C5">
        <w:rPr>
          <w:rFonts w:ascii="Helvetica Neue" w:hAnsi="Helvetica Neue" w:cs="Arial"/>
        </w:rPr>
        <w:t xml:space="preserve"> of the </w:t>
      </w:r>
      <w:r w:rsidR="008B35D9" w:rsidRPr="001115C5">
        <w:rPr>
          <w:rFonts w:ascii="Helvetica Neue" w:hAnsi="Helvetica Neue" w:cs="Arial"/>
          <w:color w:val="FF0000"/>
        </w:rPr>
        <w:t>[City/County]</w:t>
      </w:r>
      <w:r w:rsidRPr="001115C5">
        <w:rPr>
          <w:rFonts w:ascii="Helvetica Neue" w:hAnsi="Helvetica Neue" w:cs="Arial"/>
        </w:rPr>
        <w:t xml:space="preserve"> hereby declares that it </w:t>
      </w:r>
      <w:r w:rsidRPr="00123D19">
        <w:rPr>
          <w:rFonts w:ascii="Helvetica Neue" w:hAnsi="Helvetica Neue" w:cs="Arial"/>
        </w:rPr>
        <w:t>would</w:t>
      </w:r>
      <w:r w:rsidR="00123D19">
        <w:rPr>
          <w:rFonts w:ascii="Helvetica Neue" w:hAnsi="Helvetica Neue" w:cs="Arial"/>
        </w:rPr>
        <w:t xml:space="preserve"> have </w:t>
      </w:r>
      <w:r w:rsidR="00123D19" w:rsidRPr="00123D19">
        <w:rPr>
          <w:rFonts w:ascii="Helvetica Neue" w:hAnsi="Helvetica Neue" w:cs="Arial"/>
        </w:rPr>
        <w:t>adopted</w:t>
      </w:r>
      <w:r w:rsidR="00123D19" w:rsidRPr="001115C5">
        <w:rPr>
          <w:rFonts w:ascii="Helvetica Neue" w:hAnsi="Helvetica Neue" w:cs="Arial"/>
        </w:rPr>
        <w:t xml:space="preserve"> each section, subsection, subdivision, paragraph, sentence, clause or phrase hereof, irrespective of the fact that any one or more other sections, subsections, subdivisions, paragraphs, sentences, clauses or phrases hereof be declared invalid or unenforceable.</w:t>
      </w:r>
    </w:p>
    <w:p w14:paraId="57F312B8" w14:textId="7A112CA1" w:rsidR="00890A97" w:rsidRPr="001115C5" w:rsidRDefault="00890A97" w:rsidP="008B35D9">
      <w:pPr>
        <w:spacing w:after="240"/>
        <w:rPr>
          <w:rFonts w:ascii="Helvetica Neue" w:hAnsi="Helvetica Neue" w:cs="Arial"/>
        </w:rPr>
      </w:pPr>
    </w:p>
    <w:sectPr w:rsidR="00890A97" w:rsidRPr="001115C5" w:rsidSect="00560B23">
      <w:pgSz w:w="12240" w:h="15840"/>
      <w:pgMar w:top="1440" w:right="1080" w:bottom="1440" w:left="108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94D836" w14:textId="77777777" w:rsidR="004D728C" w:rsidRDefault="004D728C" w:rsidP="008E5DFA">
      <w:r>
        <w:separator/>
      </w:r>
    </w:p>
  </w:endnote>
  <w:endnote w:type="continuationSeparator" w:id="0">
    <w:p w14:paraId="60E81A7A" w14:textId="77777777" w:rsidR="004D728C" w:rsidRDefault="004D728C" w:rsidP="008E5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Montserrat Light">
    <w:panose1 w:val="00000400000000000000"/>
    <w:charset w:val="00"/>
    <w:family w:val="modern"/>
    <w:notTrueType/>
    <w:pitch w:val="variable"/>
    <w:sig w:usb0="2000020F" w:usb1="00000003" w:usb2="00000000" w:usb3="00000000" w:csb0="00000197" w:csb1="00000000"/>
  </w:font>
  <w:font w:name="Montserrat">
    <w:panose1 w:val="00000500000000000000"/>
    <w:charset w:val="00"/>
    <w:family w:val="modern"/>
    <w:notTrueType/>
    <w:pitch w:val="variable"/>
    <w:sig w:usb0="2000020F" w:usb1="00000003" w:usb2="00000000" w:usb3="00000000" w:csb0="00000197" w:csb1="00000000"/>
  </w:font>
  <w:font w:name="Arial (Heading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20587729"/>
      <w:docPartObj>
        <w:docPartGallery w:val="Page Numbers (Bottom of Page)"/>
        <w:docPartUnique/>
      </w:docPartObj>
    </w:sdtPr>
    <w:sdtEndPr>
      <w:rPr>
        <w:rStyle w:val="PageNumber"/>
      </w:rPr>
    </w:sdtEndPr>
    <w:sdtContent>
      <w:p w14:paraId="27DA9C26" w14:textId="451B0933" w:rsidR="00AE335F" w:rsidRDefault="00AE335F" w:rsidP="00892E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29683640"/>
      <w:docPartObj>
        <w:docPartGallery w:val="Page Numbers (Bottom of Page)"/>
        <w:docPartUnique/>
      </w:docPartObj>
    </w:sdtPr>
    <w:sdtEndPr>
      <w:rPr>
        <w:rStyle w:val="PageNumber"/>
      </w:rPr>
    </w:sdtEndPr>
    <w:sdtContent>
      <w:p w14:paraId="297E1CCA" w14:textId="7249040A" w:rsidR="00AE335F" w:rsidRDefault="00AE335F" w:rsidP="00864E02">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B043A8" w14:textId="77777777" w:rsidR="00AE335F" w:rsidRDefault="00AE335F" w:rsidP="00864E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39736873"/>
      <w:docPartObj>
        <w:docPartGallery w:val="Page Numbers (Bottom of Page)"/>
        <w:docPartUnique/>
      </w:docPartObj>
    </w:sdtPr>
    <w:sdtEndPr>
      <w:rPr>
        <w:rStyle w:val="PageNumber"/>
      </w:rPr>
    </w:sdtEndPr>
    <w:sdtContent>
      <w:p w14:paraId="79200ECD" w14:textId="1B6A27AA" w:rsidR="00AE335F" w:rsidRDefault="00AE335F" w:rsidP="00892E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152F04" w14:textId="18ED316C" w:rsidR="00AE335F" w:rsidRDefault="00AE335F" w:rsidP="00864E02">
    <w:pPr>
      <w:pStyle w:val="Footer"/>
      <w:ind w:right="360"/>
    </w:pPr>
    <w:r>
      <w:rPr>
        <w:noProof/>
      </w:rPr>
      <w:drawing>
        <wp:inline distT="0" distB="0" distL="0" distR="0" wp14:anchorId="71C13F45" wp14:editId="26B3E057">
          <wp:extent cx="1450109" cy="385833"/>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88468" cy="396039"/>
                  </a:xfrm>
                  <a:prstGeom prst="rect">
                    <a:avLst/>
                  </a:prstGeom>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42449959"/>
      <w:docPartObj>
        <w:docPartGallery w:val="Page Numbers (Bottom of Page)"/>
        <w:docPartUnique/>
      </w:docPartObj>
    </w:sdtPr>
    <w:sdtEndPr>
      <w:rPr>
        <w:rStyle w:val="PageNumber"/>
      </w:rPr>
    </w:sdtEndPr>
    <w:sdtContent>
      <w:p w14:paraId="08486425" w14:textId="38EBA9D2" w:rsidR="00AE335F" w:rsidRDefault="00AE335F" w:rsidP="00892E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047E672A" w14:textId="77777777" w:rsidR="00AE335F" w:rsidRDefault="00AE335F" w:rsidP="00864E02">
    <w:pPr>
      <w:pStyle w:val="BodyText"/>
      <w:spacing w:line="14" w:lineRule="auto"/>
      <w:ind w:right="36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DDE4F5" w14:textId="77777777" w:rsidR="004D728C" w:rsidRDefault="004D728C" w:rsidP="008E5DFA">
      <w:r>
        <w:separator/>
      </w:r>
    </w:p>
  </w:footnote>
  <w:footnote w:type="continuationSeparator" w:id="0">
    <w:p w14:paraId="67CD6A29" w14:textId="77777777" w:rsidR="004D728C" w:rsidRDefault="004D728C" w:rsidP="008E5DFA">
      <w:r>
        <w:continuationSeparator/>
      </w:r>
    </w:p>
  </w:footnote>
  <w:footnote w:id="1">
    <w:p w14:paraId="2FDD8F13" w14:textId="77777777" w:rsidR="00AE335F" w:rsidRDefault="00AE335F">
      <w:pPr>
        <w:pStyle w:val="FootnoteText"/>
      </w:pPr>
      <w:r>
        <w:rPr>
          <w:rStyle w:val="FootnoteReference"/>
        </w:rPr>
        <w:footnoteRef/>
      </w:r>
      <w:r w:rsidRPr="003644A3">
        <w:rPr>
          <w:sz w:val="16"/>
          <w:szCs w:val="16"/>
        </w:rPr>
        <w:t xml:space="preserve"> </w:t>
      </w:r>
      <w:r w:rsidRPr="000A644E">
        <w:rPr>
          <w:sz w:val="16"/>
          <w:szCs w:val="16"/>
        </w:rPr>
        <w:t>Mosher JF, Treffers R. Local Regulation of Medical Cannabis in California: Is Public Health a Priority? Ventura County Behavioral Health; 2017.</w:t>
      </w:r>
    </w:p>
  </w:footnote>
  <w:footnote w:id="2">
    <w:p w14:paraId="61C6A956" w14:textId="52BD5F51" w:rsidR="00AE335F" w:rsidRDefault="00AE335F">
      <w:pPr>
        <w:pStyle w:val="FootnoteText"/>
      </w:pPr>
      <w:r>
        <w:rPr>
          <w:rStyle w:val="FootnoteReference"/>
        </w:rPr>
        <w:footnoteRef/>
      </w:r>
      <w:r w:rsidRPr="003644A3">
        <w:rPr>
          <w:sz w:val="16"/>
          <w:szCs w:val="16"/>
        </w:rPr>
        <w:t xml:space="preserve"> </w:t>
      </w:r>
      <w:r w:rsidRPr="000A644E">
        <w:rPr>
          <w:sz w:val="16"/>
          <w:szCs w:val="16"/>
        </w:rPr>
        <w:t xml:space="preserve">Silins E, Horwood LJ, Patton GC, et al. Young adult sequelae of adolescent cannabis use: an integrative analysis. </w:t>
      </w:r>
      <w:r w:rsidRPr="00BC1DDE">
        <w:rPr>
          <w:i/>
          <w:iCs/>
          <w:sz w:val="16"/>
          <w:szCs w:val="16"/>
        </w:rPr>
        <w:t>Lancet Psychiatry</w:t>
      </w:r>
      <w:r w:rsidRPr="000A644E">
        <w:rPr>
          <w:sz w:val="16"/>
          <w:szCs w:val="16"/>
        </w:rPr>
        <w:t>. 2014;1(4):286-293. doi:10.1016/S2215-0366(14)70307-4</w:t>
      </w:r>
      <w:r>
        <w:rPr>
          <w:sz w:val="16"/>
          <w:szCs w:val="16"/>
        </w:rPr>
        <w:t>.</w:t>
      </w:r>
    </w:p>
  </w:footnote>
  <w:footnote w:id="3">
    <w:p w14:paraId="116B56EA" w14:textId="42BBB164" w:rsidR="00AE335F" w:rsidRPr="001466E8" w:rsidRDefault="00AE335F">
      <w:pPr>
        <w:pStyle w:val="FootnoteText"/>
        <w:rPr>
          <w:sz w:val="16"/>
          <w:szCs w:val="16"/>
        </w:rPr>
      </w:pPr>
      <w:r w:rsidRPr="001466E8">
        <w:rPr>
          <w:rStyle w:val="FootnoteReference"/>
          <w:sz w:val="16"/>
          <w:szCs w:val="16"/>
        </w:rPr>
        <w:footnoteRef/>
      </w:r>
      <w:r w:rsidRPr="001466E8">
        <w:rPr>
          <w:sz w:val="16"/>
          <w:szCs w:val="16"/>
        </w:rPr>
        <w:t xml:space="preserve"> Forti MD, </w:t>
      </w:r>
      <w:r w:rsidRPr="001466E8">
        <w:rPr>
          <w:sz w:val="16"/>
          <w:szCs w:val="16"/>
        </w:rPr>
        <w:t xml:space="preserve">Quattrone D, Freeman TP, et al. The contribution of cannabis </w:t>
      </w:r>
      <w:r w:rsidRPr="001466E8">
        <w:rPr>
          <w:sz w:val="16"/>
          <w:szCs w:val="16"/>
        </w:rPr>
        <w:t>use to variation in the incidence of psychotic disorder across Europe (EU-GEI): a multicentre case-control study. Lancet Psychiatry. 2019;0(0). doi:10.1016/S2215-0366(19)30048-3</w:t>
      </w:r>
    </w:p>
  </w:footnote>
  <w:footnote w:id="4">
    <w:p w14:paraId="1D5B357D" w14:textId="3487A478" w:rsidR="00AE335F" w:rsidRDefault="00AE335F">
      <w:pPr>
        <w:pStyle w:val="FootnoteText"/>
      </w:pPr>
      <w:r>
        <w:rPr>
          <w:rStyle w:val="FootnoteReference"/>
        </w:rPr>
        <w:footnoteRef/>
      </w:r>
      <w:r w:rsidRPr="003644A3">
        <w:rPr>
          <w:sz w:val="16"/>
          <w:szCs w:val="16"/>
        </w:rPr>
        <w:t xml:space="preserve"> </w:t>
      </w:r>
      <w:r w:rsidRPr="000A644E">
        <w:rPr>
          <w:sz w:val="16"/>
          <w:szCs w:val="16"/>
        </w:rPr>
        <w:t xml:space="preserve">Miech, R. A., Schulenberg, J. E., Johnston, L. D., Bachman, J. G., O'Malley, P. M., &amp; Patrick, M. E. (December 17, 2018). "National Adolescent Drug Trends in 2018." Monitoring the Future: Ann Arbor, MI. Retrieved 10/12/2020 from </w:t>
      </w:r>
      <w:hyperlink r:id="rId1" w:history="1">
        <w:r w:rsidRPr="000A644E">
          <w:rPr>
            <w:rStyle w:val="Hyperlink"/>
            <w:sz w:val="16"/>
            <w:szCs w:val="16"/>
          </w:rPr>
          <w:t>http://www.monitoringthefuture.org</w:t>
        </w:r>
      </w:hyperlink>
      <w:r>
        <w:rPr>
          <w:rStyle w:val="Hyperlink"/>
          <w:sz w:val="16"/>
          <w:szCs w:val="16"/>
        </w:rPr>
        <w:t>.</w:t>
      </w:r>
    </w:p>
  </w:footnote>
  <w:footnote w:id="5">
    <w:p w14:paraId="4F1FCFCE" w14:textId="1BAF70D0" w:rsidR="00AE335F" w:rsidRDefault="00AE335F">
      <w:pPr>
        <w:pStyle w:val="FootnoteText"/>
      </w:pPr>
      <w:r>
        <w:rPr>
          <w:rStyle w:val="FootnoteReference"/>
        </w:rPr>
        <w:footnoteRef/>
      </w:r>
      <w:r w:rsidRPr="003644A3">
        <w:rPr>
          <w:sz w:val="16"/>
          <w:szCs w:val="16"/>
        </w:rPr>
        <w:t xml:space="preserve"> </w:t>
      </w:r>
      <w:r w:rsidRPr="00593ACF">
        <w:rPr>
          <w:sz w:val="16"/>
          <w:szCs w:val="16"/>
        </w:rPr>
        <w:t xml:space="preserve">Centers for Disease Control, Office on Smoking and Health, National Centers for Chronic Disease Prevention and Health Promotion (last reviewed Feb. 25, 2020). “Outbreak of Lung Injury Associated with the Use of E-Cigarette, or Vaping, Products.” Retrieved 10/12/2020 from </w:t>
      </w:r>
      <w:hyperlink r:id="rId2" w:anchor="latest-information" w:history="1">
        <w:r w:rsidRPr="00593ACF">
          <w:rPr>
            <w:rStyle w:val="Hyperlink"/>
            <w:sz w:val="16"/>
            <w:szCs w:val="16"/>
          </w:rPr>
          <w:t>https://www.cdc.gov/tobacco/basic_information/e-cigarettes/severe-lung-disease.html#latest-information</w:t>
        </w:r>
      </w:hyperlink>
      <w:r>
        <w:rPr>
          <w:rStyle w:val="Hyperlink"/>
          <w:sz w:val="16"/>
          <w:szCs w:val="16"/>
        </w:rPr>
        <w:t>.</w:t>
      </w:r>
    </w:p>
  </w:footnote>
  <w:footnote w:id="6">
    <w:p w14:paraId="1273F20C" w14:textId="415AC0A5" w:rsidR="00AE335F" w:rsidRDefault="00AE335F">
      <w:pPr>
        <w:pStyle w:val="FootnoteText"/>
      </w:pPr>
      <w:r>
        <w:rPr>
          <w:rStyle w:val="FootnoteReference"/>
        </w:rPr>
        <w:footnoteRef/>
      </w:r>
      <w:r w:rsidRPr="000E7999">
        <w:rPr>
          <w:sz w:val="16"/>
          <w:szCs w:val="16"/>
        </w:rPr>
        <w:t xml:space="preserve"> Silver LD, </w:t>
      </w:r>
      <w:r w:rsidRPr="000E7999">
        <w:rPr>
          <w:sz w:val="16"/>
          <w:szCs w:val="16"/>
        </w:rPr>
        <w:t xml:space="preserve">Naprawa AZ, Padon AA. </w:t>
      </w:r>
      <w:r w:rsidRPr="00593ACF">
        <w:rPr>
          <w:sz w:val="16"/>
          <w:szCs w:val="16"/>
        </w:rPr>
        <w:t xml:space="preserve">Assessment of Incorporation of Lessons </w:t>
      </w:r>
      <w:r w:rsidRPr="00593ACF">
        <w:rPr>
          <w:sz w:val="16"/>
          <w:szCs w:val="16"/>
        </w:rPr>
        <w:t xml:space="preserve">From Tobacco Control in City and County Laws Regulating Legal Marijuana in California. </w:t>
      </w:r>
      <w:r w:rsidRPr="00593ACF">
        <w:rPr>
          <w:i/>
          <w:sz w:val="16"/>
          <w:szCs w:val="16"/>
        </w:rPr>
        <w:t>JAMA Network Open</w:t>
      </w:r>
      <w:r w:rsidRPr="00593ACF">
        <w:rPr>
          <w:sz w:val="16"/>
          <w:szCs w:val="16"/>
        </w:rPr>
        <w:t>. 2020;3(6):e208393. doi:10.1001/jamanetworkopen.2020.8393</w:t>
      </w:r>
      <w:r>
        <w:rPr>
          <w:sz w:val="16"/>
          <w:szCs w:val="16"/>
        </w:rPr>
        <w:t>.</w:t>
      </w:r>
    </w:p>
  </w:footnote>
  <w:footnote w:id="7">
    <w:p w14:paraId="50F7177D" w14:textId="519D5414" w:rsidR="00AE335F" w:rsidRDefault="00AE335F">
      <w:pPr>
        <w:pStyle w:val="FootnoteText"/>
      </w:pPr>
      <w:r>
        <w:rPr>
          <w:rStyle w:val="FootnoteReference"/>
        </w:rPr>
        <w:footnoteRef/>
      </w:r>
      <w:r w:rsidRPr="003644A3">
        <w:rPr>
          <w:sz w:val="16"/>
          <w:szCs w:val="16"/>
        </w:rPr>
        <w:t xml:space="preserve"> </w:t>
      </w:r>
      <w:r w:rsidRPr="00A036B3">
        <w:rPr>
          <w:sz w:val="16"/>
          <w:szCs w:val="16"/>
        </w:rPr>
        <w:t xml:space="preserve">Available at </w:t>
      </w:r>
      <w:hyperlink r:id="rId3" w:history="1">
        <w:r w:rsidRPr="00A036B3">
          <w:rPr>
            <w:rStyle w:val="Hyperlink"/>
            <w:sz w:val="16"/>
            <w:szCs w:val="16"/>
          </w:rPr>
          <w:t>www.gettingitrightfromthestart.org</w:t>
        </w:r>
      </w:hyperlink>
      <w:r>
        <w:rPr>
          <w:rStyle w:val="Hyperlink"/>
          <w:sz w:val="16"/>
          <w:szCs w:val="16"/>
        </w:rPr>
        <w:t>.</w:t>
      </w:r>
    </w:p>
  </w:footnote>
  <w:footnote w:id="8">
    <w:p w14:paraId="5CAD1E4A" w14:textId="135F12A3" w:rsidR="00AE335F" w:rsidRDefault="00AE335F">
      <w:pPr>
        <w:pStyle w:val="FootnoteText"/>
      </w:pPr>
      <w:r>
        <w:rPr>
          <w:rStyle w:val="FootnoteReference"/>
        </w:rPr>
        <w:footnoteRef/>
      </w:r>
      <w:r w:rsidRPr="003644A3">
        <w:rPr>
          <w:sz w:val="16"/>
          <w:szCs w:val="16"/>
        </w:rPr>
        <w:t xml:space="preserve"> </w:t>
      </w:r>
      <w:r w:rsidRPr="00A036B3">
        <w:rPr>
          <w:sz w:val="16"/>
          <w:szCs w:val="16"/>
        </w:rPr>
        <w:t>The Health Effects of Cannabis and Cannabinoids: The Current State of Evidence and Recommendations for Research</w:t>
      </w:r>
      <w:r>
        <w:rPr>
          <w:sz w:val="16"/>
          <w:szCs w:val="16"/>
        </w:rPr>
        <w:t xml:space="preserve">. </w:t>
      </w:r>
      <w:r w:rsidRPr="00A036B3">
        <w:rPr>
          <w:sz w:val="16"/>
          <w:szCs w:val="16"/>
        </w:rPr>
        <w:t xml:space="preserve">The National Academies Press. </w:t>
      </w:r>
      <w:hyperlink r:id="rId4" w:history="1">
        <w:r w:rsidRPr="00A036B3">
          <w:rPr>
            <w:rStyle w:val="Hyperlink"/>
            <w:sz w:val="16"/>
            <w:szCs w:val="16"/>
          </w:rPr>
          <w:t>https://www.nap.edu/catalog/24625/the-health-effects-of-cannabis-and-cannabinoids-the-current-state</w:t>
        </w:r>
      </w:hyperlink>
      <w:r w:rsidRPr="00A036B3">
        <w:rPr>
          <w:sz w:val="16"/>
          <w:szCs w:val="16"/>
        </w:rPr>
        <w:t>. Accessed Oct. 12, 2020.</w:t>
      </w:r>
    </w:p>
  </w:footnote>
  <w:footnote w:id="9">
    <w:p w14:paraId="505D5081" w14:textId="45FE8A74" w:rsidR="00AE335F" w:rsidRDefault="00AE335F">
      <w:pPr>
        <w:pStyle w:val="FootnoteText"/>
      </w:pPr>
      <w:r>
        <w:rPr>
          <w:rStyle w:val="FootnoteReference"/>
        </w:rPr>
        <w:footnoteRef/>
      </w:r>
      <w:r w:rsidRPr="003644A3">
        <w:rPr>
          <w:sz w:val="16"/>
          <w:szCs w:val="16"/>
        </w:rPr>
        <w:t xml:space="preserve"> </w:t>
      </w:r>
      <w:r w:rsidRPr="00A61E68">
        <w:rPr>
          <w:sz w:val="16"/>
          <w:szCs w:val="16"/>
        </w:rPr>
        <w:t xml:space="preserve">Office of the Surgeon General, U.S Surgeon General’s Advisory: Marijuana Use and the Developing Brain. Available at: </w:t>
      </w:r>
      <w:hyperlink r:id="rId5" w:history="1">
        <w:r w:rsidRPr="00E1230D">
          <w:rPr>
            <w:rStyle w:val="Hyperlink"/>
            <w:sz w:val="16"/>
            <w:szCs w:val="16"/>
          </w:rPr>
          <w:t>https://www.hhs.gov/surgeongeneral/reports-and-publications/addiction-and-substance-misuse/advisory-on-marijuana-use-and-developing-brain/index.html</w:t>
        </w:r>
      </w:hyperlink>
      <w:r>
        <w:rPr>
          <w:sz w:val="16"/>
          <w:szCs w:val="16"/>
        </w:rPr>
        <w:t xml:space="preserve"> </w:t>
      </w:r>
      <w:r w:rsidRPr="00A61E68">
        <w:rPr>
          <w:sz w:val="16"/>
          <w:szCs w:val="16"/>
        </w:rPr>
        <w:t>(last accessed June 11, 2020)</w:t>
      </w:r>
      <w:r>
        <w:rPr>
          <w:sz w:val="16"/>
          <w:szCs w:val="16"/>
        </w:rPr>
        <w:t>.</w:t>
      </w:r>
    </w:p>
  </w:footnote>
  <w:footnote w:id="10">
    <w:p w14:paraId="70766DE2" w14:textId="56E55F58" w:rsidR="00AE335F" w:rsidRDefault="00AE335F">
      <w:pPr>
        <w:pStyle w:val="FootnoteText"/>
      </w:pPr>
      <w:r>
        <w:rPr>
          <w:rStyle w:val="FootnoteReference"/>
        </w:rPr>
        <w:footnoteRef/>
      </w:r>
      <w:r w:rsidRPr="003644A3">
        <w:rPr>
          <w:sz w:val="16"/>
          <w:szCs w:val="16"/>
        </w:rPr>
        <w:t xml:space="preserve"> </w:t>
      </w:r>
      <w:r w:rsidRPr="0024555B">
        <w:rPr>
          <w:sz w:val="16"/>
          <w:szCs w:val="16"/>
        </w:rPr>
        <w:t>Office of the Surgeon General, ibid.</w:t>
      </w:r>
    </w:p>
  </w:footnote>
  <w:footnote w:id="11">
    <w:p w14:paraId="781EBC00" w14:textId="5F3ECEB3" w:rsidR="00AE335F" w:rsidRPr="00864E02" w:rsidRDefault="00AE335F">
      <w:pPr>
        <w:pStyle w:val="FootnoteText"/>
        <w:rPr>
          <w:sz w:val="16"/>
          <w:szCs w:val="16"/>
        </w:rPr>
      </w:pPr>
      <w:r w:rsidRPr="00864E02">
        <w:rPr>
          <w:rStyle w:val="FootnoteReference"/>
          <w:sz w:val="16"/>
          <w:szCs w:val="16"/>
        </w:rPr>
        <w:footnoteRef/>
      </w:r>
      <w:r w:rsidRPr="00864E02">
        <w:rPr>
          <w:sz w:val="16"/>
          <w:szCs w:val="16"/>
        </w:rPr>
        <w:t xml:space="preserve"> Young-Wolff KC, Tucker L-Y, </w:t>
      </w:r>
      <w:r w:rsidRPr="00864E02">
        <w:rPr>
          <w:sz w:val="16"/>
          <w:szCs w:val="16"/>
        </w:rPr>
        <w:t xml:space="preserve">Alexeeff S, et al. Trends in Self-reported and Biochemically Tested Marijuana Use Among Pregnant Females in California </w:t>
      </w:r>
      <w:r w:rsidRPr="00864E02">
        <w:rPr>
          <w:sz w:val="16"/>
          <w:szCs w:val="16"/>
        </w:rPr>
        <w:t xml:space="preserve">From 2009-2016. </w:t>
      </w:r>
      <w:r w:rsidRPr="00864E02">
        <w:rPr>
          <w:i/>
          <w:iCs/>
          <w:sz w:val="16"/>
          <w:szCs w:val="16"/>
        </w:rPr>
        <w:t>JAMA</w:t>
      </w:r>
      <w:r w:rsidRPr="00864E02">
        <w:rPr>
          <w:sz w:val="16"/>
          <w:szCs w:val="16"/>
        </w:rPr>
        <w:t>. 2017;318(24):2490-2491. doi:10.1001/jama.2017.17225</w:t>
      </w:r>
    </w:p>
  </w:footnote>
  <w:footnote w:id="12">
    <w:p w14:paraId="4B906E3E" w14:textId="70CF620B" w:rsidR="00AE335F" w:rsidRDefault="00AE335F">
      <w:pPr>
        <w:pStyle w:val="FootnoteText"/>
      </w:pPr>
      <w:r>
        <w:rPr>
          <w:rStyle w:val="FootnoteReference"/>
        </w:rPr>
        <w:footnoteRef/>
      </w:r>
      <w:r>
        <w:t xml:space="preserve"> </w:t>
      </w:r>
      <w:r w:rsidRPr="00254502">
        <w:rPr>
          <w:rFonts w:ascii="Times New Roman" w:hAnsi="Times New Roman" w:cs="Times New Roman"/>
          <w:sz w:val="16"/>
          <w:szCs w:val="16"/>
        </w:rPr>
        <w:t xml:space="preserve">Substance Abuse and Mental Health Services Administration (SAMHSA). </w:t>
      </w:r>
      <w:r w:rsidRPr="00254502">
        <w:rPr>
          <w:rFonts w:ascii="Times New Roman" w:hAnsi="Times New Roman" w:cs="Times New Roman"/>
          <w:i/>
          <w:iCs/>
          <w:sz w:val="16"/>
          <w:szCs w:val="16"/>
        </w:rPr>
        <w:t>Comparison of 2017-2018 and 2018-2019 Population Percentages (50 States and the District of Columbia) | CBHSQ Data</w:t>
      </w:r>
      <w:r w:rsidRPr="00254502">
        <w:rPr>
          <w:rFonts w:ascii="Times New Roman" w:hAnsi="Times New Roman" w:cs="Times New Roman"/>
          <w:sz w:val="16"/>
          <w:szCs w:val="16"/>
        </w:rPr>
        <w:t>. Center for Behavioral Health Statistics and Quality, Substance Abuse and Mental Health Services Administration; 2020. https://www. samhsa.gov/data/</w:t>
      </w:r>
    </w:p>
  </w:footnote>
  <w:footnote w:id="13">
    <w:p w14:paraId="2F279A4C" w14:textId="45FBA878" w:rsidR="00AE335F" w:rsidRDefault="00AE335F">
      <w:pPr>
        <w:pStyle w:val="FootnoteText"/>
      </w:pPr>
      <w:r>
        <w:rPr>
          <w:rStyle w:val="FootnoteReference"/>
        </w:rPr>
        <w:footnoteRef/>
      </w:r>
      <w:r w:rsidRPr="003644A3">
        <w:rPr>
          <w:sz w:val="16"/>
          <w:szCs w:val="16"/>
        </w:rPr>
        <w:t xml:space="preserve"> </w:t>
      </w:r>
      <w:r w:rsidRPr="0024555B">
        <w:rPr>
          <w:sz w:val="16"/>
          <w:szCs w:val="16"/>
        </w:rPr>
        <w:t>National Academies, ibid.</w:t>
      </w:r>
    </w:p>
  </w:footnote>
  <w:footnote w:id="14">
    <w:p w14:paraId="48EA246E" w14:textId="06FF3948"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w:t>
      </w:r>
      <w:r w:rsidRPr="009B6E6B">
        <w:rPr>
          <w:rFonts w:ascii="Times New Roman" w:hAnsi="Times New Roman" w:cs="Times New Roman"/>
          <w:sz w:val="16"/>
          <w:szCs w:val="16"/>
        </w:rPr>
        <w:t xml:space="preserve">Substance Abuse and Mental Health Services Administration (SAMHSA). </w:t>
      </w:r>
      <w:r w:rsidRPr="009B6E6B">
        <w:rPr>
          <w:rFonts w:ascii="Times New Roman" w:hAnsi="Times New Roman" w:cs="Times New Roman"/>
          <w:i/>
          <w:iCs/>
          <w:sz w:val="16"/>
          <w:szCs w:val="16"/>
        </w:rPr>
        <w:t>Comparison of 2017-2018 and 2018-2019 Population Percentages (50 States and the District of Columbia) | CBHSQ Data</w:t>
      </w:r>
      <w:r w:rsidRPr="009B6E6B">
        <w:rPr>
          <w:rFonts w:ascii="Times New Roman" w:hAnsi="Times New Roman" w:cs="Times New Roman"/>
          <w:sz w:val="16"/>
          <w:szCs w:val="16"/>
        </w:rPr>
        <w:t>. Center for Behavioral Health Statistics and Quality, Substance Abuse and Mental Health Services Administration; 2020. Retrieved from: https://www.samhsa.gov/data/sites/default/files/reports/rpt32806/2019NSDUHsaeShortTermCHG/2019NSDUHsaeShortTermCHG/2019NSDUHsaeShortTermCHG.pdf</w:t>
      </w:r>
    </w:p>
  </w:footnote>
  <w:footnote w:id="15">
    <w:p w14:paraId="348E01F5" w14:textId="7CE44C01"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National Academies, ibid.</w:t>
      </w:r>
    </w:p>
  </w:footnote>
  <w:footnote w:id="16">
    <w:p w14:paraId="47822E67" w14:textId="19283E67"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SAMHSA 2020, ibid.</w:t>
      </w:r>
    </w:p>
  </w:footnote>
  <w:footnote w:id="17">
    <w:p w14:paraId="3926CFCB" w14:textId="1CFF7704" w:rsidR="00AE335F" w:rsidRPr="00F247F7" w:rsidRDefault="00AE335F">
      <w:pPr>
        <w:pStyle w:val="FootnoteText"/>
        <w:rPr>
          <w:sz w:val="16"/>
          <w:szCs w:val="16"/>
          <w:lang w:val="fr-FR"/>
        </w:rPr>
      </w:pPr>
      <w:r w:rsidRPr="009B6E6B">
        <w:rPr>
          <w:rStyle w:val="FootnoteReference"/>
          <w:sz w:val="16"/>
          <w:szCs w:val="16"/>
        </w:rPr>
        <w:footnoteRef/>
      </w:r>
      <w:r w:rsidRPr="00F247F7">
        <w:rPr>
          <w:sz w:val="16"/>
          <w:szCs w:val="16"/>
          <w:lang w:val="fr-FR"/>
        </w:rPr>
        <w:t xml:space="preserve"> SAMHSA 2020, ibid.</w:t>
      </w:r>
    </w:p>
  </w:footnote>
  <w:footnote w:id="18">
    <w:p w14:paraId="08CB91E4" w14:textId="6611DBAF" w:rsidR="00AE335F" w:rsidRPr="009B6E6B" w:rsidRDefault="00AE335F">
      <w:pPr>
        <w:pStyle w:val="FootnoteText"/>
        <w:rPr>
          <w:sz w:val="16"/>
          <w:szCs w:val="16"/>
        </w:rPr>
      </w:pPr>
      <w:r w:rsidRPr="009B6E6B">
        <w:rPr>
          <w:rStyle w:val="FootnoteReference"/>
          <w:sz w:val="16"/>
          <w:szCs w:val="16"/>
        </w:rPr>
        <w:footnoteRef/>
      </w:r>
      <w:r w:rsidRPr="009B6E6B">
        <w:rPr>
          <w:sz w:val="16"/>
          <w:szCs w:val="16"/>
          <w:lang w:val="fr-FR"/>
        </w:rPr>
        <w:t xml:space="preserve"> </w:t>
      </w:r>
      <w:r w:rsidRPr="009B6E6B">
        <w:rPr>
          <w:sz w:val="16"/>
          <w:szCs w:val="16"/>
          <w:lang w:val="fr-FR"/>
        </w:rPr>
        <w:t xml:space="preserve">Gobbi G, Atkin T, Zytynski T, et al. </w:t>
      </w:r>
      <w:r w:rsidRPr="009B6E6B">
        <w:rPr>
          <w:sz w:val="16"/>
          <w:szCs w:val="16"/>
        </w:rPr>
        <w:t xml:space="preserve">Association of cannabis use in adolescence and risk of depression, anxiety and suicidality in young adulthood: a systematic review and meta-analysis [published correction appears in JAMA Psychiatry. 2019 Apr 1;76(4):474]. </w:t>
      </w:r>
      <w:r w:rsidRPr="009B6E6B">
        <w:rPr>
          <w:i/>
          <w:iCs/>
          <w:sz w:val="16"/>
          <w:szCs w:val="16"/>
        </w:rPr>
        <w:t>JAMA Psychiatry</w:t>
      </w:r>
      <w:r w:rsidRPr="009B6E6B">
        <w:rPr>
          <w:sz w:val="16"/>
          <w:szCs w:val="16"/>
        </w:rPr>
        <w:t>. 2019; 76(4): 426-434.</w:t>
      </w:r>
    </w:p>
  </w:footnote>
  <w:footnote w:id="19">
    <w:p w14:paraId="6989DF92" w14:textId="16086715"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w:t>
      </w:r>
      <w:r w:rsidRPr="009B6E6B">
        <w:rPr>
          <w:sz w:val="16"/>
          <w:szCs w:val="16"/>
        </w:rPr>
        <w:t xml:space="preserve">Silins E, Horwood LJ, Patton GC, et al. Young adult sequelae of adolescent cannabis use: an integrative analysis. </w:t>
      </w:r>
      <w:r w:rsidRPr="009B6E6B">
        <w:rPr>
          <w:i/>
          <w:iCs/>
          <w:sz w:val="16"/>
          <w:szCs w:val="16"/>
        </w:rPr>
        <w:t>Lancet Psychiatry</w:t>
      </w:r>
      <w:r w:rsidRPr="009B6E6B">
        <w:rPr>
          <w:sz w:val="16"/>
          <w:szCs w:val="16"/>
        </w:rPr>
        <w:t>. 2014;1(4):286-293. doi:10.1016/S2215-0366(14)70307-4.</w:t>
      </w:r>
    </w:p>
  </w:footnote>
  <w:footnote w:id="20">
    <w:p w14:paraId="199C1A1E" w14:textId="23E2B3E4"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Freeman T. and </w:t>
      </w:r>
      <w:r w:rsidRPr="009B6E6B">
        <w:rPr>
          <w:sz w:val="16"/>
          <w:szCs w:val="16"/>
        </w:rPr>
        <w:t xml:space="preserve">Winstock A. 2015. Examining the profile of high-potency cannabis and its association with severity of cannabis dependence. </w:t>
      </w:r>
      <w:r w:rsidRPr="009B6E6B">
        <w:rPr>
          <w:i/>
          <w:iCs/>
          <w:sz w:val="16"/>
          <w:szCs w:val="16"/>
        </w:rPr>
        <w:t>Psychological Medicine</w:t>
      </w:r>
      <w:r w:rsidRPr="009B6E6B">
        <w:rPr>
          <w:sz w:val="16"/>
          <w:szCs w:val="16"/>
        </w:rPr>
        <w:t>, 45 (15), 3181-3189.</w:t>
      </w:r>
    </w:p>
  </w:footnote>
  <w:footnote w:id="21">
    <w:p w14:paraId="0D673DE6" w14:textId="1A9A5CAF"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Johnston LD, O’Malley PM, </w:t>
      </w:r>
      <w:r w:rsidRPr="009B6E6B">
        <w:rPr>
          <w:sz w:val="16"/>
          <w:szCs w:val="16"/>
        </w:rPr>
        <w:t xml:space="preserve">Miech RA, Bachman JG, Schulenberg JE. </w:t>
      </w:r>
      <w:r w:rsidRPr="009B6E6B">
        <w:rPr>
          <w:i/>
          <w:iCs/>
          <w:sz w:val="16"/>
          <w:szCs w:val="16"/>
        </w:rPr>
        <w:t>Monitoring the Future National Survey Results on Drug Use, 1975-2016: Overview, Key Findings on Adolescent Drug Use</w:t>
      </w:r>
      <w:r w:rsidRPr="009B6E6B">
        <w:rPr>
          <w:sz w:val="16"/>
          <w:szCs w:val="16"/>
        </w:rPr>
        <w:t>. Ann Arbor: Institute for Social Research, The University of Michigan; 2017.</w:t>
      </w:r>
    </w:p>
  </w:footnote>
  <w:footnote w:id="22">
    <w:p w14:paraId="64DDA979" w14:textId="4E134DEA"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SAMHSA 2020, ibid.</w:t>
      </w:r>
    </w:p>
  </w:footnote>
  <w:footnote w:id="23">
    <w:p w14:paraId="0A6ABBB1" w14:textId="3B5F252A"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NIDA. 2019, December 18. Vaping of marijuana on the rise among teens. Retrieved from </w:t>
      </w:r>
      <w:hyperlink r:id="rId6" w:history="1">
        <w:r w:rsidRPr="009B6E6B">
          <w:rPr>
            <w:rStyle w:val="Hyperlink"/>
            <w:sz w:val="16"/>
            <w:szCs w:val="16"/>
          </w:rPr>
          <w:t>https://www.drugabuse.gov/news-events/news-releases/2019/12/vaping-of-marijuana-on-the-rise-among-teens</w:t>
        </w:r>
      </w:hyperlink>
      <w:r w:rsidRPr="009B6E6B">
        <w:rPr>
          <w:sz w:val="16"/>
          <w:szCs w:val="16"/>
        </w:rPr>
        <w:t xml:space="preserve"> on 2020, October 26.</w:t>
      </w:r>
    </w:p>
  </w:footnote>
  <w:footnote w:id="24">
    <w:p w14:paraId="286B143A" w14:textId="24E3E0B5" w:rsidR="00AE335F" w:rsidRDefault="00AE335F">
      <w:pPr>
        <w:pStyle w:val="FootnoteText"/>
      </w:pPr>
      <w:r w:rsidRPr="009B6E6B">
        <w:rPr>
          <w:rStyle w:val="FootnoteReference"/>
          <w:sz w:val="16"/>
          <w:szCs w:val="16"/>
        </w:rPr>
        <w:footnoteRef/>
      </w:r>
      <w:r w:rsidRPr="009B6E6B">
        <w:rPr>
          <w:sz w:val="16"/>
          <w:szCs w:val="16"/>
        </w:rPr>
        <w:t xml:space="preserve"> </w:t>
      </w:r>
      <w:r w:rsidRPr="009B6E6B">
        <w:rPr>
          <w:sz w:val="16"/>
          <w:szCs w:val="16"/>
        </w:rPr>
        <w:t xml:space="preserve">Shulenberg, J. E., Johnston, L. D., O’Malley, P. M., Bachman, J. G., Miech, R. A. &amp; Patrick, M. E. (2019). </w:t>
      </w:r>
      <w:r w:rsidRPr="009B6E6B">
        <w:rPr>
          <w:i/>
          <w:iCs/>
          <w:sz w:val="16"/>
          <w:szCs w:val="16"/>
        </w:rPr>
        <w:t>Monitoring the Future national survey results on drug use, 1975–2018: Volume II, College students and adults ages 19–60</w:t>
      </w:r>
      <w:r w:rsidRPr="009B6E6B">
        <w:rPr>
          <w:sz w:val="16"/>
          <w:szCs w:val="16"/>
        </w:rPr>
        <w:t xml:space="preserve">. Ann Arbor: Institute for Social Research, The University of Michigan. Available at </w:t>
      </w:r>
      <w:hyperlink r:id="rId7" w:anchor="monographs" w:history="1">
        <w:r w:rsidRPr="009B6E6B">
          <w:rPr>
            <w:rStyle w:val="Hyperlink"/>
            <w:sz w:val="16"/>
            <w:szCs w:val="16"/>
          </w:rPr>
          <w:t>http://monitoringthefuture.org/pubs.html#monographs</w:t>
        </w:r>
      </w:hyperlink>
      <w:r w:rsidRPr="009B6E6B">
        <w:rPr>
          <w:sz w:val="16"/>
          <w:szCs w:val="16"/>
        </w:rPr>
        <w:t>.</w:t>
      </w:r>
    </w:p>
  </w:footnote>
  <w:footnote w:id="25">
    <w:p w14:paraId="49FE339E" w14:textId="2776D810"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National Academies, Ibid.</w:t>
      </w:r>
    </w:p>
  </w:footnote>
  <w:footnote w:id="26">
    <w:p w14:paraId="56B45532" w14:textId="64DD231E" w:rsidR="00AE335F" w:rsidRDefault="00AE335F">
      <w:pPr>
        <w:pStyle w:val="FootnoteText"/>
      </w:pPr>
      <w:r w:rsidRPr="009B6E6B">
        <w:rPr>
          <w:rStyle w:val="FootnoteReference"/>
          <w:sz w:val="16"/>
          <w:szCs w:val="16"/>
        </w:rPr>
        <w:footnoteRef/>
      </w:r>
      <w:r w:rsidRPr="009B6E6B">
        <w:rPr>
          <w:sz w:val="16"/>
          <w:szCs w:val="16"/>
        </w:rPr>
        <w:t xml:space="preserve"> Bae, H., and Kerr, D. C. R. (2020) Marijuana use trends among college students in states with and without legalization of recreational use: initial and longer‐term changes from 2008 to 2018. </w:t>
      </w:r>
      <w:r w:rsidRPr="009B6E6B">
        <w:rPr>
          <w:i/>
          <w:iCs/>
          <w:sz w:val="16"/>
          <w:szCs w:val="16"/>
        </w:rPr>
        <w:t>Addiction</w:t>
      </w:r>
      <w:r w:rsidRPr="009B6E6B">
        <w:rPr>
          <w:sz w:val="16"/>
          <w:szCs w:val="16"/>
        </w:rPr>
        <w:t xml:space="preserve">, 115: 1115 1124. </w:t>
      </w:r>
      <w:hyperlink r:id="rId8" w:history="1">
        <w:r w:rsidRPr="009B6E6B">
          <w:rPr>
            <w:rStyle w:val="Hyperlink"/>
            <w:sz w:val="16"/>
            <w:szCs w:val="16"/>
          </w:rPr>
          <w:t>https://doi.org/10.1111/add.14939</w:t>
        </w:r>
      </w:hyperlink>
      <w:r w:rsidRPr="009B6E6B">
        <w:rPr>
          <w:sz w:val="16"/>
          <w:szCs w:val="16"/>
        </w:rPr>
        <w:t>.</w:t>
      </w:r>
    </w:p>
  </w:footnote>
  <w:footnote w:id="27">
    <w:p w14:paraId="7ADCD7F9" w14:textId="4E542C8F"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Brown QL, </w:t>
      </w:r>
      <w:r w:rsidRPr="009B6E6B">
        <w:rPr>
          <w:sz w:val="16"/>
          <w:szCs w:val="16"/>
        </w:rPr>
        <w:t xml:space="preserve">Sarvet AL, Shmulewitz D, Martins SS, Wall MM, Hasin DS. Trends in Marijuana Use Among Pregnant and Nonpregnant Reproductive-Aged Women, 2002-2014. </w:t>
      </w:r>
      <w:r w:rsidRPr="009B6E6B">
        <w:rPr>
          <w:i/>
          <w:iCs/>
          <w:sz w:val="16"/>
          <w:szCs w:val="16"/>
        </w:rPr>
        <w:t>JAMA</w:t>
      </w:r>
      <w:r w:rsidRPr="009B6E6B">
        <w:rPr>
          <w:sz w:val="16"/>
          <w:szCs w:val="16"/>
        </w:rPr>
        <w:t>. 2017;317(2):207-209. doi:10.1001/jama.2016.17383.</w:t>
      </w:r>
    </w:p>
  </w:footnote>
  <w:footnote w:id="28">
    <w:p w14:paraId="003EE3E6" w14:textId="4E936E8A"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California Department of Education, California Healthy Kids Survey and California Student Survey. Student Marijuana Use in Lifetime by Grade Level, California, 2015-2017. </w:t>
      </w:r>
      <w:hyperlink r:id="rId9" w:history="1">
        <w:r w:rsidRPr="009B6E6B">
          <w:rPr>
            <w:rStyle w:val="Hyperlink"/>
            <w:sz w:val="16"/>
            <w:szCs w:val="16"/>
          </w:rPr>
          <w:t>http://www.KidsData.org</w:t>
        </w:r>
      </w:hyperlink>
      <w:r w:rsidRPr="009B6E6B">
        <w:rPr>
          <w:sz w:val="16"/>
          <w:szCs w:val="16"/>
        </w:rPr>
        <w:t>.</w:t>
      </w:r>
    </w:p>
  </w:footnote>
  <w:footnote w:id="29">
    <w:p w14:paraId="7090C854" w14:textId="591D27CC"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CDC, Ibid.</w:t>
      </w:r>
    </w:p>
  </w:footnote>
  <w:footnote w:id="30">
    <w:p w14:paraId="3B9BC43B" w14:textId="7D68EAEB"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National Academies, Ibid.</w:t>
      </w:r>
    </w:p>
  </w:footnote>
  <w:footnote w:id="31">
    <w:p w14:paraId="3AB017FF" w14:textId="37803339" w:rsidR="00AE335F" w:rsidRDefault="00AE335F">
      <w:pPr>
        <w:pStyle w:val="FootnoteText"/>
      </w:pPr>
      <w:r w:rsidRPr="009B6E6B">
        <w:rPr>
          <w:rStyle w:val="FootnoteReference"/>
          <w:sz w:val="16"/>
          <w:szCs w:val="16"/>
        </w:rPr>
        <w:footnoteRef/>
      </w:r>
      <w:r w:rsidRPr="009B6E6B">
        <w:rPr>
          <w:sz w:val="16"/>
          <w:szCs w:val="16"/>
        </w:rPr>
        <w:t xml:space="preserve"> </w:t>
      </w:r>
      <w:r w:rsidRPr="009B6E6B">
        <w:rPr>
          <w:b/>
          <w:bCs/>
          <w:i/>
          <w:iCs/>
          <w:sz w:val="16"/>
          <w:szCs w:val="16"/>
        </w:rPr>
        <w:t>The Academy defined Substantial Evidence as follows</w:t>
      </w:r>
      <w:r w:rsidRPr="009B6E6B">
        <w:rPr>
          <w:i/>
          <w:iCs/>
          <w:sz w:val="16"/>
          <w:szCs w:val="16"/>
        </w:rPr>
        <w:t>: There is strong evidence to support or refute a statistical association between cannabis or cannabinoid use and the health endpoint of interest.</w:t>
      </w:r>
    </w:p>
  </w:footnote>
  <w:footnote w:id="32">
    <w:p w14:paraId="1ACE9CF6" w14:textId="5EBC641C"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California Department of Public Health, California Tobacco Control Program. </w:t>
      </w:r>
      <w:r w:rsidRPr="009B6E6B">
        <w:rPr>
          <w:i/>
          <w:iCs/>
          <w:sz w:val="16"/>
          <w:szCs w:val="16"/>
        </w:rPr>
        <w:t>California Tobacco Facts and Figures 2016</w:t>
      </w:r>
      <w:r w:rsidRPr="009B6E6B">
        <w:rPr>
          <w:sz w:val="16"/>
          <w:szCs w:val="16"/>
        </w:rPr>
        <w:t>. Sacramento, CA: California Department of Public Health; 2016.</w:t>
      </w:r>
    </w:p>
  </w:footnote>
  <w:footnote w:id="33">
    <w:p w14:paraId="0F988976" w14:textId="0E60F58D"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Department of Alcoholic Beverage Control. </w:t>
      </w:r>
      <w:r w:rsidRPr="009B6E6B">
        <w:rPr>
          <w:i/>
          <w:iCs/>
          <w:sz w:val="16"/>
          <w:szCs w:val="16"/>
        </w:rPr>
        <w:t>State of California: Minor Decoy Program</w:t>
      </w:r>
      <w:r w:rsidRPr="009B6E6B">
        <w:rPr>
          <w:sz w:val="16"/>
          <w:szCs w:val="16"/>
        </w:rPr>
        <w:t>.; 2008.</w:t>
      </w:r>
    </w:p>
  </w:footnote>
  <w:footnote w:id="34">
    <w:p w14:paraId="13961FDC" w14:textId="679FCF05"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Centers for Disease Control and Prevention. </w:t>
      </w:r>
      <w:r w:rsidRPr="009B6E6B">
        <w:rPr>
          <w:i/>
          <w:iCs/>
          <w:sz w:val="16"/>
          <w:szCs w:val="16"/>
        </w:rPr>
        <w:t>Youth Risk Behavior Surveillance - United States, 2011</w:t>
      </w:r>
      <w:r w:rsidRPr="009B6E6B">
        <w:rPr>
          <w:sz w:val="16"/>
          <w:szCs w:val="16"/>
        </w:rPr>
        <w:t>.; 2012:15.</w:t>
      </w:r>
    </w:p>
  </w:footnote>
  <w:footnote w:id="35">
    <w:p w14:paraId="24CB277A" w14:textId="539C3E23"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Roberts SP, Siegel MB, DeJong W, </w:t>
      </w:r>
      <w:r w:rsidRPr="009B6E6B">
        <w:rPr>
          <w:sz w:val="16"/>
          <w:szCs w:val="16"/>
        </w:rPr>
        <w:t xml:space="preserve">Naimi TS, Jernigan DH. The Relationships Between Alcohol Source, Autonomy in Brand Selection, and Brand Preference Among Youth in the USA. </w:t>
      </w:r>
      <w:r w:rsidRPr="009B6E6B">
        <w:rPr>
          <w:i/>
          <w:iCs/>
          <w:sz w:val="16"/>
          <w:szCs w:val="16"/>
        </w:rPr>
        <w:t>Alcohol Oxfs</w:t>
      </w:r>
      <w:r w:rsidRPr="009B6E6B">
        <w:rPr>
          <w:sz w:val="16"/>
          <w:szCs w:val="16"/>
        </w:rPr>
        <w:t>. 2014;49(5):563-571. doi:10.1093/alcalc/agu034.</w:t>
      </w:r>
    </w:p>
  </w:footnote>
  <w:footnote w:id="36">
    <w:p w14:paraId="731006F0" w14:textId="2BAD6734"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Peninsula Conflict Resolution Center. Youth Access to Cannabis Using Cannabis Delivery Services in San Mateo County. June 30th, 2019.</w:t>
      </w:r>
    </w:p>
  </w:footnote>
  <w:footnote w:id="37">
    <w:p w14:paraId="772F9FD1" w14:textId="571FFEA6" w:rsidR="00AE335F" w:rsidRDefault="00AE335F">
      <w:pPr>
        <w:pStyle w:val="FootnoteText"/>
      </w:pPr>
      <w:r w:rsidRPr="009B6E6B">
        <w:rPr>
          <w:rStyle w:val="FootnoteReference"/>
          <w:sz w:val="16"/>
          <w:szCs w:val="16"/>
        </w:rPr>
        <w:footnoteRef/>
      </w:r>
      <w:r w:rsidRPr="009B6E6B">
        <w:rPr>
          <w:sz w:val="16"/>
          <w:szCs w:val="16"/>
        </w:rPr>
        <w:t xml:space="preserve"> American Lung Association in California, The Center for Tobacco Policy &amp; Organizing. </w:t>
      </w:r>
      <w:r w:rsidRPr="009B6E6B">
        <w:rPr>
          <w:i/>
          <w:iCs/>
          <w:sz w:val="16"/>
          <w:szCs w:val="16"/>
        </w:rPr>
        <w:t>Tobacco Retailer Licensing Is Effective</w:t>
      </w:r>
      <w:r w:rsidRPr="009B6E6B">
        <w:rPr>
          <w:sz w:val="16"/>
          <w:szCs w:val="16"/>
        </w:rPr>
        <w:t xml:space="preserve">.; 2013. </w:t>
      </w:r>
      <w:hyperlink r:id="rId10" w:history="1">
        <w:r w:rsidRPr="009B6E6B">
          <w:rPr>
            <w:rStyle w:val="Hyperlink"/>
            <w:sz w:val="16"/>
            <w:szCs w:val="16"/>
          </w:rPr>
          <w:t>http://center4tobaccopolicy.org/tobacco-policy/tobacco-retail-environment/</w:t>
        </w:r>
      </w:hyperlink>
      <w:r w:rsidRPr="009B6E6B">
        <w:rPr>
          <w:sz w:val="16"/>
          <w:szCs w:val="16"/>
        </w:rPr>
        <w:t>. Accessed September 19, 2017.</w:t>
      </w:r>
    </w:p>
  </w:footnote>
  <w:footnote w:id="38">
    <w:p w14:paraId="659DE655" w14:textId="7CA0F449"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Henriksen L, </w:t>
      </w:r>
      <w:r w:rsidRPr="009B6E6B">
        <w:rPr>
          <w:sz w:val="16"/>
          <w:szCs w:val="16"/>
        </w:rPr>
        <w:t xml:space="preserve">Feighery EC, Schleicher NC, Cowling DW, Kline RS, Fortmann SP. Is adolescent smoking related to the density and proximity of tobacco outlets and retail cigarette advertising near schools? </w:t>
      </w:r>
      <w:r w:rsidRPr="009B6E6B">
        <w:rPr>
          <w:i/>
          <w:iCs/>
          <w:sz w:val="16"/>
          <w:szCs w:val="16"/>
        </w:rPr>
        <w:t>Prev Med</w:t>
      </w:r>
      <w:r w:rsidRPr="009B6E6B">
        <w:rPr>
          <w:sz w:val="16"/>
          <w:szCs w:val="16"/>
        </w:rPr>
        <w:t xml:space="preserve">. 2008;47(2):210-214. </w:t>
      </w:r>
      <w:r w:rsidRPr="009B6E6B">
        <w:rPr>
          <w:sz w:val="16"/>
          <w:szCs w:val="16"/>
        </w:rPr>
        <w:t>doi:10.1016/j.ypmed.2008.04.008.</w:t>
      </w:r>
    </w:p>
  </w:footnote>
  <w:footnote w:id="39">
    <w:p w14:paraId="5FC8385F" w14:textId="3566DA26"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McCarthy WJ, Mistry R, Lu Y, Patel M, Zheng H, </w:t>
      </w:r>
      <w:r w:rsidRPr="009B6E6B">
        <w:rPr>
          <w:sz w:val="16"/>
          <w:szCs w:val="16"/>
        </w:rPr>
        <w:t xml:space="preserve">Dietsch B. Density of tobacco retailers near schools: effects on tobacco use among students. </w:t>
      </w:r>
      <w:r w:rsidRPr="009B6E6B">
        <w:rPr>
          <w:i/>
          <w:iCs/>
          <w:sz w:val="16"/>
          <w:szCs w:val="16"/>
        </w:rPr>
        <w:t>Am J Public Health</w:t>
      </w:r>
      <w:r w:rsidRPr="009B6E6B">
        <w:rPr>
          <w:sz w:val="16"/>
          <w:szCs w:val="16"/>
        </w:rPr>
        <w:t>. 2009;99(11):2006-2013. doi:10.2105/AJPH.2008.145128.</w:t>
      </w:r>
    </w:p>
  </w:footnote>
  <w:footnote w:id="40">
    <w:p w14:paraId="3AC0D478" w14:textId="645B8CB5"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w:t>
      </w:r>
      <w:r w:rsidRPr="009B6E6B">
        <w:rPr>
          <w:sz w:val="16"/>
          <w:szCs w:val="16"/>
        </w:rPr>
        <w:t xml:space="preserve">Borodovsky JT, Lee DC, Crosier BS, Gabrielli JL, Sargent JD, Budney AJ. U.S. cannabis legalization and use of vaping and edible products among youth. </w:t>
      </w:r>
      <w:r w:rsidRPr="009B6E6B">
        <w:rPr>
          <w:i/>
          <w:iCs/>
          <w:sz w:val="16"/>
          <w:szCs w:val="16"/>
        </w:rPr>
        <w:t>Drug Alcohol Depend</w:t>
      </w:r>
      <w:r w:rsidRPr="009B6E6B">
        <w:rPr>
          <w:sz w:val="16"/>
          <w:szCs w:val="16"/>
        </w:rPr>
        <w:t xml:space="preserve">. 2017;0(0). </w:t>
      </w:r>
      <w:r w:rsidRPr="009B6E6B">
        <w:rPr>
          <w:sz w:val="16"/>
          <w:szCs w:val="16"/>
        </w:rPr>
        <w:t>doi:10.1016/j.drugalcdep.2017.02.017.</w:t>
      </w:r>
    </w:p>
  </w:footnote>
  <w:footnote w:id="41">
    <w:p w14:paraId="1507FBB3" w14:textId="7D1624A5"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Fletcher LA, Toomey TL, </w:t>
      </w:r>
      <w:r w:rsidRPr="009B6E6B">
        <w:rPr>
          <w:sz w:val="16"/>
          <w:szCs w:val="16"/>
        </w:rPr>
        <w:t xml:space="preserve">Wagenaar AC, Short B, Willenbring ML. Alcohol home delivery services: a source of alcohol for underage drinkers. </w:t>
      </w:r>
      <w:r w:rsidRPr="009B6E6B">
        <w:rPr>
          <w:i/>
          <w:iCs/>
          <w:sz w:val="16"/>
          <w:szCs w:val="16"/>
        </w:rPr>
        <w:t>J Stud Alcohol.</w:t>
      </w:r>
      <w:r w:rsidRPr="009B6E6B">
        <w:rPr>
          <w:sz w:val="16"/>
          <w:szCs w:val="16"/>
        </w:rPr>
        <w:t xml:space="preserve"> 2000;61(1):81-84.</w:t>
      </w:r>
    </w:p>
  </w:footnote>
  <w:footnote w:id="42">
    <w:p w14:paraId="310937DD" w14:textId="34D66056"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Williams RS, </w:t>
      </w:r>
      <w:r w:rsidRPr="009B6E6B">
        <w:rPr>
          <w:sz w:val="16"/>
          <w:szCs w:val="16"/>
        </w:rPr>
        <w:t xml:space="preserve">Ribisl KM. Internet Alcohol Sales to Minors. </w:t>
      </w:r>
      <w:r w:rsidRPr="009B6E6B">
        <w:rPr>
          <w:i/>
          <w:iCs/>
          <w:sz w:val="16"/>
          <w:szCs w:val="16"/>
        </w:rPr>
        <w:t>Arch Pediatr Adolesc Med</w:t>
      </w:r>
      <w:r w:rsidRPr="009B6E6B">
        <w:rPr>
          <w:sz w:val="16"/>
          <w:szCs w:val="16"/>
        </w:rPr>
        <w:t>. 2012;166(9):808-813. doi:10.1001/archpediatrics.2012.265.</w:t>
      </w:r>
    </w:p>
  </w:footnote>
  <w:footnote w:id="43">
    <w:p w14:paraId="11AAB675" w14:textId="2D3F4693"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Wang GS, Le Lait M, </w:t>
      </w:r>
      <w:r w:rsidRPr="009B6E6B">
        <w:rPr>
          <w:sz w:val="16"/>
          <w:szCs w:val="16"/>
        </w:rPr>
        <w:t xml:space="preserve">Deakyne SJ, Bronstein AC, Bajaj L, Roosevelt G. Unintentional Pediatric Exposures to Marijuana in Colorado, 2009-2015. </w:t>
      </w:r>
      <w:r w:rsidRPr="009B6E6B">
        <w:rPr>
          <w:i/>
          <w:iCs/>
          <w:sz w:val="16"/>
          <w:szCs w:val="16"/>
        </w:rPr>
        <w:t>JAMA Pediatr</w:t>
      </w:r>
      <w:r w:rsidRPr="009B6E6B">
        <w:rPr>
          <w:sz w:val="16"/>
          <w:szCs w:val="16"/>
        </w:rPr>
        <w:t>. 2016;170(9</w:t>
      </w:r>
      <w:r w:rsidRPr="009B6E6B">
        <w:rPr>
          <w:sz w:val="16"/>
          <w:szCs w:val="16"/>
        </w:rPr>
        <w:t>):e160971. doi:10.1001/jamapediatrics.2016.0971.</w:t>
      </w:r>
    </w:p>
  </w:footnote>
  <w:footnote w:id="44">
    <w:p w14:paraId="31BA483C" w14:textId="41398C61" w:rsidR="00AE335F" w:rsidRPr="009B6E6B" w:rsidRDefault="00AE335F">
      <w:pPr>
        <w:pStyle w:val="FootnoteText"/>
        <w:rPr>
          <w:sz w:val="16"/>
          <w:szCs w:val="16"/>
          <w:lang w:val="pt-BR"/>
        </w:rPr>
      </w:pPr>
      <w:r w:rsidRPr="009B6E6B">
        <w:rPr>
          <w:rStyle w:val="FootnoteReference"/>
          <w:sz w:val="16"/>
          <w:szCs w:val="16"/>
        </w:rPr>
        <w:footnoteRef/>
      </w:r>
      <w:r w:rsidRPr="009B6E6B">
        <w:rPr>
          <w:sz w:val="16"/>
          <w:szCs w:val="16"/>
        </w:rPr>
        <w:t xml:space="preserve"> </w:t>
      </w:r>
      <w:r w:rsidRPr="009B6E6B">
        <w:rPr>
          <w:sz w:val="16"/>
          <w:szCs w:val="16"/>
        </w:rPr>
        <w:t xml:space="preserve">DiFranza JR, Wellman RJ, Sargent JD, et al. Tobacco promotion and the initiation of tobacco use: assessing the evidence for causality. </w:t>
      </w:r>
      <w:r w:rsidRPr="009B6E6B">
        <w:rPr>
          <w:i/>
          <w:iCs/>
          <w:sz w:val="16"/>
          <w:szCs w:val="16"/>
          <w:lang w:val="pt-BR"/>
        </w:rPr>
        <w:t>Pediatrics</w:t>
      </w:r>
      <w:r w:rsidRPr="009B6E6B">
        <w:rPr>
          <w:sz w:val="16"/>
          <w:szCs w:val="16"/>
          <w:lang w:val="pt-BR"/>
        </w:rPr>
        <w:t>. 2006;117(6):e1237-1248. doi:10.1542/peds.2005-1817.</w:t>
      </w:r>
    </w:p>
  </w:footnote>
  <w:footnote w:id="45">
    <w:p w14:paraId="3C491CBC" w14:textId="368EAD00" w:rsidR="00AE335F" w:rsidRPr="009B6E6B" w:rsidRDefault="00AE335F">
      <w:pPr>
        <w:pStyle w:val="FootnoteText"/>
        <w:rPr>
          <w:sz w:val="16"/>
          <w:szCs w:val="16"/>
        </w:rPr>
      </w:pPr>
      <w:r w:rsidRPr="009B6E6B">
        <w:rPr>
          <w:rStyle w:val="FootnoteReference"/>
          <w:sz w:val="16"/>
          <w:szCs w:val="16"/>
        </w:rPr>
        <w:footnoteRef/>
      </w:r>
      <w:r w:rsidRPr="009B6E6B">
        <w:rPr>
          <w:sz w:val="16"/>
          <w:szCs w:val="16"/>
          <w:lang w:val="pt-BR"/>
        </w:rPr>
        <w:t xml:space="preserve"> King BA, Dube SR, Tynan MA. </w:t>
      </w:r>
      <w:r w:rsidRPr="009B6E6B">
        <w:rPr>
          <w:sz w:val="16"/>
          <w:szCs w:val="16"/>
        </w:rPr>
        <w:t xml:space="preserve">Flavored Cigar Smoking Among U.S. Adults: Findings From the 2009–2010 National Adult Tobacco Survey. </w:t>
      </w:r>
      <w:r w:rsidRPr="009B6E6B">
        <w:rPr>
          <w:i/>
          <w:iCs/>
          <w:sz w:val="16"/>
          <w:szCs w:val="16"/>
        </w:rPr>
        <w:t xml:space="preserve">Nicotine </w:t>
      </w:r>
      <w:r w:rsidRPr="009B6E6B">
        <w:rPr>
          <w:i/>
          <w:iCs/>
          <w:sz w:val="16"/>
          <w:szCs w:val="16"/>
        </w:rPr>
        <w:t>Tob Res</w:t>
      </w:r>
      <w:r w:rsidRPr="009B6E6B">
        <w:rPr>
          <w:sz w:val="16"/>
          <w:szCs w:val="16"/>
        </w:rPr>
        <w:t>. 2013;15(2):608-614. doi:10.1093/ntr/nts178.</w:t>
      </w:r>
      <w:r w:rsidRPr="009B6E6B" w:rsidDel="002530A9">
        <w:rPr>
          <w:sz w:val="16"/>
          <w:szCs w:val="16"/>
        </w:rPr>
        <w:t xml:space="preserve"> </w:t>
      </w:r>
    </w:p>
  </w:footnote>
  <w:footnote w:id="46">
    <w:p w14:paraId="6CF86EBD" w14:textId="1A8FA91A"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w:t>
      </w:r>
      <w:r w:rsidRPr="009B6E6B">
        <w:rPr>
          <w:sz w:val="16"/>
          <w:szCs w:val="16"/>
        </w:rPr>
        <w:t xml:space="preserve">Villanti AC, Richardson A, Vallone DM, Rath JM. Flavored tobacco product use among U.S. young adults. </w:t>
      </w:r>
      <w:r w:rsidRPr="009B6E6B">
        <w:rPr>
          <w:i/>
          <w:iCs/>
          <w:sz w:val="16"/>
          <w:szCs w:val="16"/>
        </w:rPr>
        <w:t>Am J Prev Med</w:t>
      </w:r>
      <w:r w:rsidRPr="009B6E6B">
        <w:rPr>
          <w:sz w:val="16"/>
          <w:szCs w:val="16"/>
        </w:rPr>
        <w:t xml:space="preserve">. 2013;44(4):388-391. </w:t>
      </w:r>
      <w:r w:rsidRPr="009B6E6B">
        <w:rPr>
          <w:sz w:val="16"/>
          <w:szCs w:val="16"/>
        </w:rPr>
        <w:t>doi:10.1016/j.amepre.2012.11.031.</w:t>
      </w:r>
      <w:r w:rsidRPr="009B6E6B" w:rsidDel="002530A9">
        <w:rPr>
          <w:sz w:val="16"/>
          <w:szCs w:val="16"/>
        </w:rPr>
        <w:t xml:space="preserve"> </w:t>
      </w:r>
    </w:p>
  </w:footnote>
  <w:footnote w:id="47">
    <w:p w14:paraId="28AA18F3" w14:textId="716CC5E0"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Siegel M, Chen K, DeJong W, et al. Differences in alcohol brand consumption between underage youth and adults-United States, 2012. </w:t>
      </w:r>
      <w:r w:rsidRPr="009B6E6B">
        <w:rPr>
          <w:i/>
          <w:iCs/>
          <w:sz w:val="16"/>
          <w:szCs w:val="16"/>
        </w:rPr>
        <w:t>Subst Abuse</w:t>
      </w:r>
      <w:r w:rsidRPr="009B6E6B">
        <w:rPr>
          <w:sz w:val="16"/>
          <w:szCs w:val="16"/>
        </w:rPr>
        <w:t>. 2015;36(1):106-112. doi:10.1080/08897077.2014.883344.</w:t>
      </w:r>
    </w:p>
  </w:footnote>
  <w:footnote w:id="48">
    <w:p w14:paraId="28032C31" w14:textId="5F8EA2F7"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Rosen, S &amp; Simon, M. </w:t>
      </w:r>
      <w:r w:rsidRPr="009B6E6B">
        <w:rPr>
          <w:i/>
          <w:iCs/>
          <w:sz w:val="16"/>
          <w:szCs w:val="16"/>
        </w:rPr>
        <w:t>The cost of alcopops to youth and California: A publication of Marin Institute</w:t>
      </w:r>
      <w:r w:rsidRPr="009B6E6B">
        <w:rPr>
          <w:sz w:val="16"/>
          <w:szCs w:val="16"/>
        </w:rPr>
        <w:t>, 2007. Marin Institute.</w:t>
      </w:r>
    </w:p>
  </w:footnote>
  <w:footnote w:id="49">
    <w:p w14:paraId="76CB46E1" w14:textId="5CEE7049"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Siegel et al., ibid.</w:t>
      </w:r>
    </w:p>
  </w:footnote>
  <w:footnote w:id="50">
    <w:p w14:paraId="48DDCFB5" w14:textId="78F85138"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Food and Drug Administration. </w:t>
      </w:r>
      <w:r w:rsidRPr="009B6E6B">
        <w:rPr>
          <w:i/>
          <w:iCs/>
          <w:sz w:val="16"/>
          <w:szCs w:val="16"/>
        </w:rPr>
        <w:t>Fact Sheet: Flavored Tobacco Products.</w:t>
      </w:r>
      <w:r w:rsidRPr="009B6E6B">
        <w:rPr>
          <w:sz w:val="16"/>
          <w:szCs w:val="16"/>
        </w:rPr>
        <w:t>; 2011.</w:t>
      </w:r>
    </w:p>
  </w:footnote>
  <w:footnote w:id="51">
    <w:p w14:paraId="58EE69BE" w14:textId="0857AF44" w:rsidR="00AE335F" w:rsidRPr="009B433C" w:rsidRDefault="00AE335F">
      <w:pPr>
        <w:pStyle w:val="FootnoteText"/>
        <w:rPr>
          <w:sz w:val="16"/>
          <w:szCs w:val="16"/>
        </w:rPr>
      </w:pPr>
      <w:r w:rsidRPr="009B6E6B">
        <w:rPr>
          <w:rStyle w:val="FootnoteReference"/>
          <w:sz w:val="16"/>
          <w:szCs w:val="16"/>
        </w:rPr>
        <w:footnoteRef/>
      </w:r>
      <w:r w:rsidRPr="009B6E6B">
        <w:rPr>
          <w:sz w:val="16"/>
          <w:szCs w:val="16"/>
        </w:rPr>
        <w:t xml:space="preserve"> U.S. Department of Health and Human Services. </w:t>
      </w:r>
      <w:r w:rsidRPr="009B6E6B">
        <w:rPr>
          <w:i/>
          <w:iCs/>
          <w:sz w:val="16"/>
          <w:szCs w:val="16"/>
        </w:rPr>
        <w:t>Preventing Tobacco Use among Youth and Young Adults: A Report of the Surgeon General</w:t>
      </w:r>
      <w:r w:rsidRPr="009B6E6B">
        <w:rPr>
          <w:sz w:val="16"/>
          <w:szCs w:val="16"/>
        </w:rPr>
        <w:t>. Atlanta, GA: U.S. Department of Health and Human Services, Centers for Disease Control and Prevention, National Center for Chronic Disease Prevention and Health Promotion, Office on Smoking and Health; 2012:539.</w:t>
      </w:r>
    </w:p>
  </w:footnote>
  <w:footnote w:id="52">
    <w:p w14:paraId="53861319" w14:textId="17CA6F60"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111th Congress</w:t>
      </w:r>
      <w:r w:rsidRPr="009B6E6B">
        <w:rPr>
          <w:i/>
          <w:iCs/>
          <w:sz w:val="16"/>
          <w:szCs w:val="16"/>
        </w:rPr>
        <w:t>. Family Smoking Prevention and Tobacco Control Act</w:t>
      </w:r>
      <w:r w:rsidRPr="009B6E6B">
        <w:rPr>
          <w:sz w:val="16"/>
          <w:szCs w:val="16"/>
        </w:rPr>
        <w:t>. Vol Public Law 111-31 [ H.R. 1256].; 2009.</w:t>
      </w:r>
    </w:p>
  </w:footnote>
  <w:footnote w:id="53">
    <w:p w14:paraId="22D004B0" w14:textId="737CDA2A"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Food and Drug Administration. </w:t>
      </w:r>
      <w:r w:rsidRPr="009B6E6B">
        <w:rPr>
          <w:i/>
          <w:iCs/>
          <w:sz w:val="16"/>
          <w:szCs w:val="16"/>
        </w:rPr>
        <w:t xml:space="preserve">Enforcement Priorities for Electronic Nicotine </w:t>
      </w:r>
      <w:r w:rsidRPr="009B6E6B">
        <w:rPr>
          <w:i/>
          <w:iCs/>
          <w:sz w:val="16"/>
          <w:szCs w:val="16"/>
        </w:rPr>
        <w:t>Delievery Systems (ENDS) and Other Deemed Products on the Market Without Premarket Authorization (Revised); 2020</w:t>
      </w:r>
      <w:r w:rsidRPr="009B6E6B">
        <w:rPr>
          <w:sz w:val="16"/>
          <w:szCs w:val="16"/>
        </w:rPr>
        <w:t xml:space="preserve">. Available at: </w:t>
      </w:r>
      <w:hyperlink r:id="rId11" w:history="1">
        <w:r w:rsidRPr="009B6E6B">
          <w:rPr>
            <w:rStyle w:val="Hyperlink"/>
            <w:sz w:val="16"/>
            <w:szCs w:val="16"/>
          </w:rPr>
          <w:t>https://www.fda.gov/media/133880/download</w:t>
        </w:r>
      </w:hyperlink>
    </w:p>
  </w:footnote>
  <w:footnote w:id="54">
    <w:p w14:paraId="0F772909" w14:textId="7F5B7AA4"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U.S. Department of Health and Human Services. </w:t>
      </w:r>
      <w:r w:rsidRPr="009B6E6B">
        <w:rPr>
          <w:i/>
          <w:iCs/>
          <w:sz w:val="16"/>
          <w:szCs w:val="16"/>
        </w:rPr>
        <w:t>Preventing Tobacco Use among Youth and Young Adults: A Report of the Surgeon General</w:t>
      </w:r>
      <w:r w:rsidRPr="009B6E6B">
        <w:rPr>
          <w:sz w:val="16"/>
          <w:szCs w:val="16"/>
        </w:rPr>
        <w:t>. Atlanta, GA: U.S. Department of Health and Human Services, Centers for Disease Control and Prevention, National Center for Chronic Disease Prevention and Health Promotion, Office on Smoking and Health; 2012:539.</w:t>
      </w:r>
    </w:p>
  </w:footnote>
  <w:footnote w:id="55">
    <w:p w14:paraId="0860DE65" w14:textId="2D967035"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U.S. Department of Health and Human Services, 2012. Ibid.</w:t>
      </w:r>
    </w:p>
  </w:footnote>
  <w:footnote w:id="56">
    <w:p w14:paraId="77C801F7" w14:textId="0A9A2A9F"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Senate Bill 793. Flavored Tobacco Products. California State Legislature August 28, 2020. Retrieved at: https://leginfo.legislature.ca.gov/faces/billTextClient.xhtml?bill_id=201920200SB793</w:t>
      </w:r>
    </w:p>
  </w:footnote>
  <w:footnote w:id="57">
    <w:p w14:paraId="198BBE20" w14:textId="3A7FCE2D"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Edibles Products &amp; Reviews. </w:t>
      </w:r>
      <w:r w:rsidRPr="009B6E6B">
        <w:rPr>
          <w:sz w:val="16"/>
          <w:szCs w:val="16"/>
        </w:rPr>
        <w:t xml:space="preserve">Leafly. </w:t>
      </w:r>
      <w:hyperlink r:id="rId12" w:history="1">
        <w:r w:rsidRPr="009B6E6B">
          <w:rPr>
            <w:rStyle w:val="Hyperlink"/>
            <w:sz w:val="16"/>
            <w:szCs w:val="16"/>
          </w:rPr>
          <w:t>https://www.leafly.com/products/edibles</w:t>
        </w:r>
      </w:hyperlink>
      <w:r w:rsidRPr="009B6E6B">
        <w:rPr>
          <w:sz w:val="16"/>
          <w:szCs w:val="16"/>
        </w:rPr>
        <w:t>. Accessed September 18, 2017.</w:t>
      </w:r>
    </w:p>
  </w:footnote>
  <w:footnote w:id="58">
    <w:p w14:paraId="6EC5A92A" w14:textId="5EEFAB27"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Modern consumable cannabis provides expanded flavor, quality. Spokesman.com. </w:t>
      </w:r>
      <w:hyperlink r:id="rId13" w:history="1">
        <w:r w:rsidRPr="009B6E6B">
          <w:rPr>
            <w:rStyle w:val="Hyperlink"/>
            <w:sz w:val="16"/>
            <w:szCs w:val="16"/>
          </w:rPr>
          <w:t>http://www.spokesman.com/stories/2017/jul/28/modern-consumable-cannabis-provides-expanded-flavo/</w:t>
        </w:r>
      </w:hyperlink>
      <w:r w:rsidRPr="009B6E6B">
        <w:rPr>
          <w:sz w:val="16"/>
          <w:szCs w:val="16"/>
        </w:rPr>
        <w:t>. Accessed September 18, 2017.</w:t>
      </w:r>
    </w:p>
  </w:footnote>
  <w:footnote w:id="59">
    <w:p w14:paraId="2D0E00A4" w14:textId="68994919"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Jackman T. Shatter. A super-high-potency marijuana, appearing on East Coast. </w:t>
      </w:r>
      <w:r w:rsidRPr="009B6E6B">
        <w:rPr>
          <w:i/>
          <w:iCs/>
          <w:sz w:val="16"/>
          <w:szCs w:val="16"/>
        </w:rPr>
        <w:t>Washington Post</w:t>
      </w:r>
      <w:r w:rsidRPr="009B6E6B">
        <w:rPr>
          <w:sz w:val="16"/>
          <w:szCs w:val="16"/>
        </w:rPr>
        <w:t xml:space="preserve">. </w:t>
      </w:r>
      <w:hyperlink r:id="rId14" w:history="1">
        <w:r w:rsidRPr="009B6E6B">
          <w:rPr>
            <w:rStyle w:val="Hyperlink"/>
            <w:sz w:val="16"/>
            <w:szCs w:val="16"/>
          </w:rPr>
          <w:t>https://www.washingtonpost.com/local/public-safety/shatter-super-high-potency-marijuana-now-appearing-on-east-coast/2015/12/23/e09dfde4-a8fa-11e5-bff5-905b92f5f94b_story.html</w:t>
        </w:r>
      </w:hyperlink>
      <w:r w:rsidRPr="009B6E6B">
        <w:rPr>
          <w:sz w:val="16"/>
          <w:szCs w:val="16"/>
        </w:rPr>
        <w:t>. Published December 23, 2015. Accessed September 20, 2017.</w:t>
      </w:r>
    </w:p>
  </w:footnote>
  <w:footnote w:id="60">
    <w:p w14:paraId="2019552B" w14:textId="7620B705"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w:t>
      </w:r>
      <w:r w:rsidRPr="009B6E6B">
        <w:rPr>
          <w:sz w:val="16"/>
          <w:szCs w:val="16"/>
        </w:rPr>
        <w:t xml:space="preserve">Blaszczak-Boxe A. Potent Pot: Marijuana Is Stronger Now Than It Was 20 Years Ago. Live Science. </w:t>
      </w:r>
      <w:hyperlink r:id="rId15" w:history="1">
        <w:r w:rsidRPr="009B6E6B">
          <w:rPr>
            <w:rStyle w:val="Hyperlink"/>
            <w:sz w:val="16"/>
            <w:szCs w:val="16"/>
          </w:rPr>
          <w:t>https://www.livescience.com/53644-marijuana-is-stronger-now-than-20-years-ago.html</w:t>
        </w:r>
      </w:hyperlink>
      <w:r w:rsidRPr="009B6E6B">
        <w:rPr>
          <w:sz w:val="16"/>
          <w:szCs w:val="16"/>
        </w:rPr>
        <w:t>. Published February 8, 2016. Accessed September 20, 2017.</w:t>
      </w:r>
    </w:p>
  </w:footnote>
  <w:footnote w:id="61">
    <w:p w14:paraId="019D0F4B" w14:textId="58DE1AB1" w:rsidR="00AE335F" w:rsidRDefault="00AE335F">
      <w:pPr>
        <w:pStyle w:val="FootnoteText"/>
      </w:pPr>
      <w:r w:rsidRPr="009B6E6B">
        <w:rPr>
          <w:rStyle w:val="FootnoteReference"/>
          <w:sz w:val="16"/>
          <w:szCs w:val="16"/>
        </w:rPr>
        <w:footnoteRef/>
      </w:r>
      <w:r w:rsidRPr="009B6E6B">
        <w:rPr>
          <w:sz w:val="16"/>
          <w:szCs w:val="16"/>
        </w:rPr>
        <w:t xml:space="preserve"> Smart, R., </w:t>
      </w:r>
      <w:r w:rsidRPr="009B6E6B">
        <w:rPr>
          <w:sz w:val="16"/>
          <w:szCs w:val="16"/>
        </w:rPr>
        <w:t xml:space="preserve">Caulkins, J. P., Kilmer, B., Davenport, S., and Midgette, G. (2017) Variation in cannabis potency and prices in a newly legal market: evidence from 30 million cannabis sales in Washington state. </w:t>
      </w:r>
      <w:r w:rsidRPr="009B6E6B">
        <w:rPr>
          <w:i/>
          <w:iCs/>
          <w:sz w:val="16"/>
          <w:szCs w:val="16"/>
        </w:rPr>
        <w:t>Addiction</w:t>
      </w:r>
      <w:r w:rsidRPr="009B6E6B">
        <w:rPr>
          <w:sz w:val="16"/>
          <w:szCs w:val="16"/>
        </w:rPr>
        <w:t>, 112: 2167– 2177. doi: 10.1111/add.13886.</w:t>
      </w:r>
    </w:p>
  </w:footnote>
  <w:footnote w:id="62">
    <w:p w14:paraId="5CDD6A90" w14:textId="3829BDAA" w:rsidR="00AE335F" w:rsidRPr="009B6E6B" w:rsidRDefault="00AE335F">
      <w:pPr>
        <w:pStyle w:val="FootnoteText"/>
        <w:rPr>
          <w:rFonts w:cstheme="minorHAnsi"/>
          <w:sz w:val="16"/>
          <w:szCs w:val="16"/>
        </w:rPr>
      </w:pPr>
      <w:r w:rsidRPr="009B6E6B">
        <w:rPr>
          <w:rStyle w:val="FootnoteReference"/>
          <w:sz w:val="16"/>
          <w:szCs w:val="16"/>
        </w:rPr>
        <w:footnoteRef/>
      </w:r>
      <w:r w:rsidRPr="009B6E6B">
        <w:rPr>
          <w:sz w:val="16"/>
          <w:szCs w:val="16"/>
        </w:rPr>
        <w:t xml:space="preserve"> </w:t>
      </w:r>
      <w:r w:rsidRPr="009B6E6B">
        <w:rPr>
          <w:rFonts w:cstheme="minorHAnsi"/>
          <w:sz w:val="16"/>
          <w:szCs w:val="16"/>
        </w:rPr>
        <w:t>Di Forti et al., ibid.</w:t>
      </w:r>
    </w:p>
  </w:footnote>
  <w:footnote w:id="63">
    <w:p w14:paraId="1D8F63F6" w14:textId="1880C0C4" w:rsidR="00AE335F" w:rsidRPr="009B6E6B" w:rsidRDefault="00AE335F" w:rsidP="00864E02">
      <w:pPr>
        <w:rPr>
          <w:rFonts w:asciiTheme="minorHAnsi" w:hAnsiTheme="minorHAnsi" w:cstheme="minorHAnsi"/>
          <w:sz w:val="16"/>
          <w:szCs w:val="16"/>
        </w:rPr>
      </w:pPr>
      <w:r w:rsidRPr="009B6E6B">
        <w:rPr>
          <w:rStyle w:val="FootnoteReference"/>
          <w:rFonts w:asciiTheme="minorHAnsi" w:hAnsiTheme="minorHAnsi" w:cstheme="minorHAnsi"/>
          <w:sz w:val="16"/>
          <w:szCs w:val="16"/>
        </w:rPr>
        <w:footnoteRef/>
      </w:r>
      <w:r w:rsidRPr="009B6E6B">
        <w:rPr>
          <w:rFonts w:asciiTheme="minorHAnsi" w:hAnsiTheme="minorHAnsi" w:cstheme="minorHAnsi"/>
          <w:sz w:val="16"/>
          <w:szCs w:val="16"/>
        </w:rPr>
        <w:t xml:space="preserve"> Johnston, L. D., </w:t>
      </w:r>
      <w:r w:rsidRPr="009B6E6B">
        <w:rPr>
          <w:rFonts w:asciiTheme="minorHAnsi" w:hAnsiTheme="minorHAnsi" w:cstheme="minorHAnsi"/>
          <w:sz w:val="16"/>
          <w:szCs w:val="16"/>
        </w:rPr>
        <w:t xml:space="preserve">Miech, R. A., O’Malley, P. M., Bachman, J. G., Schulenberg, J. E., &amp; Patrick, M. E. (2021). Monitoring the Future national survey results on drug use 1975-2020: Overview, key findings on adolescent drug use. Ann Arbor: Institute for Social Research, University of Michigan. </w:t>
      </w:r>
    </w:p>
  </w:footnote>
  <w:footnote w:id="64">
    <w:p w14:paraId="36A0731D" w14:textId="33805731" w:rsidR="00AE335F" w:rsidRPr="009B6E6B" w:rsidRDefault="00AE335F">
      <w:pPr>
        <w:pStyle w:val="FootnoteText"/>
        <w:rPr>
          <w:sz w:val="16"/>
          <w:szCs w:val="16"/>
        </w:rPr>
      </w:pPr>
      <w:r w:rsidRPr="009B6E6B">
        <w:rPr>
          <w:rStyle w:val="FootnoteReference"/>
          <w:rFonts w:cstheme="minorHAnsi"/>
          <w:sz w:val="16"/>
          <w:szCs w:val="16"/>
        </w:rPr>
        <w:footnoteRef/>
      </w:r>
      <w:r w:rsidRPr="009B6E6B">
        <w:rPr>
          <w:rFonts w:cstheme="minorHAnsi"/>
          <w:sz w:val="16"/>
          <w:szCs w:val="16"/>
        </w:rPr>
        <w:t xml:space="preserve"> Centers for Disease</w:t>
      </w:r>
      <w:r w:rsidRPr="009B6E6B">
        <w:rPr>
          <w:sz w:val="16"/>
          <w:szCs w:val="16"/>
        </w:rPr>
        <w:t xml:space="preserve"> Control, </w:t>
      </w:r>
      <w:r w:rsidRPr="009B6E6B">
        <w:rPr>
          <w:i/>
          <w:iCs/>
          <w:sz w:val="16"/>
          <w:szCs w:val="16"/>
        </w:rPr>
        <w:t>Notes from the Field: Use of Electronic Cigarettes and Any Tobacco Product Among Middle and High School Students – United States, 2011-2018</w:t>
      </w:r>
      <w:r w:rsidRPr="009B6E6B">
        <w:rPr>
          <w:sz w:val="16"/>
          <w:szCs w:val="16"/>
        </w:rPr>
        <w:t xml:space="preserve">. Available at: </w:t>
      </w:r>
      <w:hyperlink r:id="rId16" w:history="1">
        <w:r w:rsidRPr="009B6E6B">
          <w:rPr>
            <w:rStyle w:val="Hyperlink"/>
            <w:sz w:val="16"/>
            <w:szCs w:val="16"/>
          </w:rPr>
          <w:t>https://www.cdc.gov/mmwr/volumes/67/wr/mm6745a5.htm</w:t>
        </w:r>
      </w:hyperlink>
      <w:r w:rsidRPr="009B6E6B">
        <w:rPr>
          <w:sz w:val="16"/>
          <w:szCs w:val="16"/>
        </w:rPr>
        <w:t>. Last Accessed October 15, 2020.</w:t>
      </w:r>
    </w:p>
  </w:footnote>
  <w:footnote w:id="65">
    <w:p w14:paraId="17F12CF4" w14:textId="0A6ABE83"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Brown Announces Electronic Cigarette Maker’s Agreement to Stop Deceptive Marketing and Sales to Minors. </w:t>
      </w:r>
      <w:r w:rsidRPr="009B6E6B">
        <w:rPr>
          <w:i/>
          <w:iCs/>
          <w:sz w:val="16"/>
          <w:szCs w:val="16"/>
        </w:rPr>
        <w:t>State of California - Department of Justice - Office of the Attorney General</w:t>
      </w:r>
      <w:r w:rsidRPr="009B6E6B">
        <w:rPr>
          <w:sz w:val="16"/>
          <w:szCs w:val="16"/>
        </w:rPr>
        <w:t xml:space="preserve">. </w:t>
      </w:r>
      <w:hyperlink r:id="rId17" w:history="1">
        <w:r w:rsidRPr="009B6E6B">
          <w:rPr>
            <w:rStyle w:val="Hyperlink"/>
            <w:sz w:val="16"/>
            <w:szCs w:val="16"/>
          </w:rPr>
          <w:t>https://oag.ca.gov/news/press-releases/brown-announces-electronic-cigarette-makers-agreement-stop-deceptive-marketing</w:t>
        </w:r>
      </w:hyperlink>
      <w:r w:rsidRPr="009B6E6B">
        <w:rPr>
          <w:sz w:val="16"/>
          <w:szCs w:val="16"/>
        </w:rPr>
        <w:t>. 2010. Accessed September 19, 2017.</w:t>
      </w:r>
    </w:p>
  </w:footnote>
  <w:footnote w:id="66">
    <w:p w14:paraId="4E63B155" w14:textId="7B5E101B"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US Department of Health and Human Services (2012), ibid.</w:t>
      </w:r>
    </w:p>
  </w:footnote>
  <w:footnote w:id="67">
    <w:p w14:paraId="29EDB6C4" w14:textId="75085BD5"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w:t>
      </w:r>
      <w:r w:rsidRPr="009B6E6B">
        <w:rPr>
          <w:sz w:val="16"/>
          <w:szCs w:val="16"/>
        </w:rPr>
        <w:t xml:space="preserve">Chaloupka F. </w:t>
      </w:r>
      <w:r w:rsidRPr="009B6E6B">
        <w:rPr>
          <w:i/>
          <w:iCs/>
          <w:sz w:val="16"/>
          <w:szCs w:val="16"/>
        </w:rPr>
        <w:t>Tobacco Control Lessons Learned: The Impact of State and Local Policies</w:t>
      </w:r>
      <w:r w:rsidRPr="009B6E6B">
        <w:rPr>
          <w:sz w:val="16"/>
          <w:szCs w:val="16"/>
        </w:rPr>
        <w:t xml:space="preserve">. Chicago, IL: University of Illinois at Chicago; 2010. </w:t>
      </w:r>
      <w:hyperlink r:id="rId18" w:history="1">
        <w:r w:rsidRPr="009B6E6B">
          <w:rPr>
            <w:rStyle w:val="Hyperlink"/>
            <w:sz w:val="16"/>
            <w:szCs w:val="16"/>
          </w:rPr>
          <w:t>https://tobacconomics.org/research/tobacco-control-lessons-learned-the-impact-of-state-and-local-policies/</w:t>
        </w:r>
      </w:hyperlink>
      <w:r w:rsidRPr="009B6E6B">
        <w:rPr>
          <w:sz w:val="16"/>
          <w:szCs w:val="16"/>
        </w:rPr>
        <w:t>. Accessed September 19, 2017.</w:t>
      </w:r>
    </w:p>
  </w:footnote>
  <w:footnote w:id="68">
    <w:p w14:paraId="009F5D47" w14:textId="61D7D7B3" w:rsidR="00AE335F" w:rsidRDefault="00AE335F">
      <w:pPr>
        <w:pStyle w:val="FootnoteText"/>
      </w:pPr>
      <w:r w:rsidRPr="009B6E6B">
        <w:rPr>
          <w:rStyle w:val="FootnoteReference"/>
          <w:sz w:val="16"/>
          <w:szCs w:val="16"/>
        </w:rPr>
        <w:footnoteRef/>
      </w:r>
      <w:r w:rsidRPr="009B6E6B">
        <w:rPr>
          <w:sz w:val="16"/>
          <w:szCs w:val="16"/>
        </w:rPr>
        <w:t xml:space="preserve"> US Department of Health and Human Services (2012), ibid.</w:t>
      </w:r>
    </w:p>
  </w:footnote>
  <w:footnote w:id="69">
    <w:p w14:paraId="1A1711F8" w14:textId="30CD1877"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Smith LA, Foxcroft DR. The effect of alcohol advertising, marketing and portrayal on drinking </w:t>
      </w:r>
      <w:r w:rsidRPr="009B6E6B">
        <w:rPr>
          <w:sz w:val="16"/>
          <w:szCs w:val="16"/>
        </w:rPr>
        <w:t xml:space="preserve">behaviour in young people: systematic review of prospective cohort studies. </w:t>
      </w:r>
      <w:r w:rsidRPr="009B6E6B">
        <w:rPr>
          <w:i/>
          <w:iCs/>
          <w:sz w:val="16"/>
          <w:szCs w:val="16"/>
        </w:rPr>
        <w:t>BMC Public Health</w:t>
      </w:r>
      <w:r w:rsidRPr="009B6E6B">
        <w:rPr>
          <w:sz w:val="16"/>
          <w:szCs w:val="16"/>
        </w:rPr>
        <w:t>. 2009;9(1):51. doi:10.1186/1471-2458-9-51.</w:t>
      </w:r>
    </w:p>
  </w:footnote>
  <w:footnote w:id="70">
    <w:p w14:paraId="34EB2E1F" w14:textId="07580405"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Wellman RJ, Sugarman DB, </w:t>
      </w:r>
      <w:r w:rsidRPr="009B6E6B">
        <w:rPr>
          <w:sz w:val="16"/>
          <w:szCs w:val="16"/>
        </w:rPr>
        <w:t xml:space="preserve">DiFranza JR, Winickoff JP. The Extent to Which Tobacco Marketing and Tobacco Use in Films Contribute to Children’s Use of Tobacco: A Meta-analysis. </w:t>
      </w:r>
      <w:r w:rsidRPr="009B6E6B">
        <w:rPr>
          <w:i/>
          <w:iCs/>
          <w:sz w:val="16"/>
          <w:szCs w:val="16"/>
        </w:rPr>
        <w:t>Arch Pediatr Adolesc Med</w:t>
      </w:r>
      <w:r w:rsidRPr="009B6E6B">
        <w:rPr>
          <w:sz w:val="16"/>
          <w:szCs w:val="16"/>
        </w:rPr>
        <w:t>. 2006;160(12):1285-1296. doi:10.1001/archpedi.160.12.1285.</w:t>
      </w:r>
    </w:p>
  </w:footnote>
  <w:footnote w:id="71">
    <w:p w14:paraId="3FFE5FD4" w14:textId="242AB1EF" w:rsidR="00AE335F" w:rsidRDefault="00AE335F">
      <w:pPr>
        <w:pStyle w:val="FootnoteText"/>
      </w:pPr>
      <w:r w:rsidRPr="009B6E6B">
        <w:rPr>
          <w:rStyle w:val="FootnoteReference"/>
          <w:sz w:val="16"/>
          <w:szCs w:val="16"/>
        </w:rPr>
        <w:footnoteRef/>
      </w:r>
      <w:r w:rsidRPr="009B6E6B">
        <w:rPr>
          <w:sz w:val="16"/>
          <w:szCs w:val="16"/>
        </w:rPr>
        <w:t xml:space="preserve"> Cairns G, Angus K, Hastings G, </w:t>
      </w:r>
      <w:r w:rsidRPr="009B6E6B">
        <w:rPr>
          <w:sz w:val="16"/>
          <w:szCs w:val="16"/>
        </w:rPr>
        <w:t xml:space="preserve">Caraher M. Systematic reviews of the evidence on the nature, extent and effects of food marketing to children. A retrospective summary. </w:t>
      </w:r>
      <w:r w:rsidRPr="009B6E6B">
        <w:rPr>
          <w:i/>
          <w:iCs/>
          <w:sz w:val="16"/>
          <w:szCs w:val="16"/>
        </w:rPr>
        <w:t>Appetite</w:t>
      </w:r>
      <w:r w:rsidRPr="009B6E6B">
        <w:rPr>
          <w:sz w:val="16"/>
          <w:szCs w:val="16"/>
        </w:rPr>
        <w:t xml:space="preserve">. 2013;62(Supplement C):209-215. </w:t>
      </w:r>
      <w:r w:rsidRPr="009B6E6B">
        <w:rPr>
          <w:sz w:val="16"/>
          <w:szCs w:val="16"/>
        </w:rPr>
        <w:t>doi:10.1016/j.appet.2012.04.017.</w:t>
      </w:r>
    </w:p>
  </w:footnote>
  <w:footnote w:id="72">
    <w:p w14:paraId="5FD4EEED" w14:textId="6D44A97E"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w:t>
      </w:r>
      <w:r w:rsidRPr="009B6E6B">
        <w:rPr>
          <w:sz w:val="16"/>
          <w:szCs w:val="16"/>
        </w:rPr>
        <w:t xml:space="preserve">Padon AA, Rimal RN, DeJong W, Siegel M, Jernigan D. Assessing Youth-Appealing Content in Alcohol Advertisements: Application of a Content Appealing to Youth (CAY) Index. </w:t>
      </w:r>
      <w:r w:rsidRPr="009B6E6B">
        <w:rPr>
          <w:i/>
          <w:iCs/>
          <w:sz w:val="16"/>
          <w:szCs w:val="16"/>
        </w:rPr>
        <w:t>Health Commun</w:t>
      </w:r>
      <w:r w:rsidRPr="009B6E6B">
        <w:rPr>
          <w:sz w:val="16"/>
          <w:szCs w:val="16"/>
        </w:rPr>
        <w:t>. 2016;0(0):1-10. doi:10.1080/10410236.2016.1250331</w:t>
      </w:r>
    </w:p>
  </w:footnote>
  <w:footnote w:id="73">
    <w:p w14:paraId="1A0594A2" w14:textId="7E274925"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w:t>
      </w:r>
      <w:r w:rsidRPr="009B6E6B">
        <w:rPr>
          <w:sz w:val="16"/>
          <w:szCs w:val="16"/>
        </w:rPr>
        <w:t xml:space="preserve">Niederdeppe J, Davis KC, Farrelly MC, Yarsevich J. Stylistic Features, Need for Sensation, and Confirmed Recall of National Smoking Prevention Advertisements. </w:t>
      </w:r>
      <w:r w:rsidRPr="009B6E6B">
        <w:rPr>
          <w:i/>
          <w:iCs/>
          <w:sz w:val="16"/>
          <w:szCs w:val="16"/>
        </w:rPr>
        <w:t>J Commun</w:t>
      </w:r>
      <w:r w:rsidRPr="009B6E6B">
        <w:rPr>
          <w:sz w:val="16"/>
          <w:szCs w:val="16"/>
        </w:rPr>
        <w:t>. 2007;57(2):272-292. doi:10.1111/j.1460-2466.2007.</w:t>
      </w:r>
      <w:r w:rsidRPr="009B6E6B">
        <w:rPr>
          <w:sz w:val="16"/>
          <w:szCs w:val="16"/>
        </w:rPr>
        <w:t>00343.x.</w:t>
      </w:r>
    </w:p>
  </w:footnote>
  <w:footnote w:id="74">
    <w:p w14:paraId="3691D811" w14:textId="573AC75A"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Lewis MK, Hill AJ. Food advertising on British children’s television: a content analysis and experimental study with nine-year </w:t>
      </w:r>
      <w:r w:rsidRPr="009B6E6B">
        <w:rPr>
          <w:sz w:val="16"/>
          <w:szCs w:val="16"/>
        </w:rPr>
        <w:t xml:space="preserve">olds. </w:t>
      </w:r>
      <w:r w:rsidRPr="009B6E6B">
        <w:rPr>
          <w:i/>
          <w:iCs/>
          <w:sz w:val="16"/>
          <w:szCs w:val="16"/>
        </w:rPr>
        <w:t>Int J Obes Relat Metab Disord J Int Assoc Study Obes</w:t>
      </w:r>
      <w:r w:rsidRPr="009B6E6B">
        <w:rPr>
          <w:sz w:val="16"/>
          <w:szCs w:val="16"/>
        </w:rPr>
        <w:t>. 1998;22(3):206-214.</w:t>
      </w:r>
    </w:p>
  </w:footnote>
  <w:footnote w:id="75">
    <w:p w14:paraId="382BAF12" w14:textId="5EE6436E"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Waiters ED, </w:t>
      </w:r>
      <w:r w:rsidRPr="009B6E6B">
        <w:rPr>
          <w:sz w:val="16"/>
          <w:szCs w:val="16"/>
        </w:rPr>
        <w:t xml:space="preserve">Treno AJ, Grube JW. Alcohol Advertising and Youth: A Focus-Group Analysis of What Young People Find Appealing in Alcohol Advertising. </w:t>
      </w:r>
      <w:r w:rsidRPr="009B6E6B">
        <w:rPr>
          <w:i/>
          <w:iCs/>
          <w:sz w:val="16"/>
          <w:szCs w:val="16"/>
        </w:rPr>
        <w:t>Contemp Drug Probl</w:t>
      </w:r>
      <w:r w:rsidRPr="009B6E6B">
        <w:rPr>
          <w:sz w:val="16"/>
          <w:szCs w:val="16"/>
        </w:rPr>
        <w:t>. 2001;28(4):695.</w:t>
      </w:r>
    </w:p>
  </w:footnote>
  <w:footnote w:id="76">
    <w:p w14:paraId="0091A1E6" w14:textId="55EB2CCD"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Chen M-J, Grube JW, </w:t>
      </w:r>
      <w:r w:rsidRPr="009B6E6B">
        <w:rPr>
          <w:sz w:val="16"/>
          <w:szCs w:val="16"/>
        </w:rPr>
        <w:t xml:space="preserve">Bersamin M, Waiters E, Keefe DB. Alcohol advertising: what makes it attractive to youth? </w:t>
      </w:r>
      <w:r w:rsidRPr="009B6E6B">
        <w:rPr>
          <w:i/>
          <w:iCs/>
          <w:sz w:val="16"/>
          <w:szCs w:val="16"/>
        </w:rPr>
        <w:t>J Health Commun</w:t>
      </w:r>
      <w:r w:rsidRPr="009B6E6B">
        <w:rPr>
          <w:sz w:val="16"/>
          <w:szCs w:val="16"/>
        </w:rPr>
        <w:t>. 2005;10(6):553-565. doi:10.1080/10810730500228904.</w:t>
      </w:r>
    </w:p>
  </w:footnote>
  <w:footnote w:id="77">
    <w:p w14:paraId="3D79A3CE" w14:textId="51F10EF5"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Morgan SE, </w:t>
      </w:r>
      <w:r w:rsidRPr="009B6E6B">
        <w:rPr>
          <w:sz w:val="16"/>
          <w:szCs w:val="16"/>
        </w:rPr>
        <w:t xml:space="preserve">Palmgreen P, Stephenson MT, Hoyle RH, Lorch EP. Associations Between Message Features and Subjective Evaluations of the Sensation Value of Antidrug Public Service Announcements. </w:t>
      </w:r>
      <w:r w:rsidRPr="009B6E6B">
        <w:rPr>
          <w:i/>
          <w:iCs/>
          <w:sz w:val="16"/>
          <w:szCs w:val="16"/>
        </w:rPr>
        <w:t>J Commun</w:t>
      </w:r>
      <w:r w:rsidRPr="009B6E6B">
        <w:rPr>
          <w:sz w:val="16"/>
          <w:szCs w:val="16"/>
        </w:rPr>
        <w:t>. 2003;53(3):512-526. doi:10.1111/j.1460-</w:t>
      </w:r>
      <w:r w:rsidRPr="009B6E6B">
        <w:rPr>
          <w:sz w:val="16"/>
          <w:szCs w:val="16"/>
        </w:rPr>
        <w:t>2466.2003.tb02605.x.</w:t>
      </w:r>
    </w:p>
  </w:footnote>
  <w:footnote w:id="78">
    <w:p w14:paraId="09CA158A" w14:textId="24D03F34" w:rsidR="00AE335F" w:rsidRPr="00F242EF" w:rsidRDefault="00AE335F">
      <w:pPr>
        <w:pStyle w:val="FootnoteText"/>
        <w:rPr>
          <w:sz w:val="16"/>
          <w:szCs w:val="16"/>
        </w:rPr>
      </w:pPr>
      <w:r w:rsidRPr="009B6E6B">
        <w:rPr>
          <w:rStyle w:val="FootnoteReference"/>
          <w:sz w:val="16"/>
          <w:szCs w:val="16"/>
        </w:rPr>
        <w:footnoteRef/>
      </w:r>
      <w:r w:rsidRPr="009B6E6B">
        <w:rPr>
          <w:sz w:val="16"/>
          <w:szCs w:val="16"/>
        </w:rPr>
        <w:t xml:space="preserve"> </w:t>
      </w:r>
      <w:r w:rsidRPr="009B6E6B">
        <w:rPr>
          <w:sz w:val="16"/>
          <w:szCs w:val="16"/>
        </w:rPr>
        <w:t xml:space="preserve">Pechmann C, Levine L, Loughlin S, Leslie F. Impulsive and Self-Conscious: Adolescents’ Vulnerability to Advertising and Promotion. </w:t>
      </w:r>
      <w:r w:rsidRPr="009B6E6B">
        <w:rPr>
          <w:i/>
          <w:iCs/>
          <w:sz w:val="16"/>
          <w:szCs w:val="16"/>
        </w:rPr>
        <w:t xml:space="preserve">J Public Policy Mark. </w:t>
      </w:r>
      <w:r w:rsidRPr="009B6E6B">
        <w:rPr>
          <w:sz w:val="16"/>
          <w:szCs w:val="16"/>
        </w:rPr>
        <w:t>2005;24(2):202-221. doi:10.1509/jppm.2005.24.2.202.</w:t>
      </w:r>
    </w:p>
  </w:footnote>
  <w:footnote w:id="79">
    <w:p w14:paraId="26899F30" w14:textId="34C890A5"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Smith et al, ibid.</w:t>
      </w:r>
    </w:p>
  </w:footnote>
  <w:footnote w:id="80">
    <w:p w14:paraId="4EC8C95C" w14:textId="2D26A898"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Stone AL. Adolescent Cannabis Use and Perceived Social Norm Trends Pre- and Post-Implementation of Washington State’s Liberalized Recreational Cannabis Policy: Healthy Youth Survey, 2008–2018. </w:t>
      </w:r>
      <w:r w:rsidRPr="009B6E6B">
        <w:rPr>
          <w:i/>
          <w:iCs/>
          <w:sz w:val="16"/>
          <w:szCs w:val="16"/>
        </w:rPr>
        <w:t>Prev Sci</w:t>
      </w:r>
      <w:r w:rsidRPr="009B6E6B">
        <w:rPr>
          <w:sz w:val="16"/>
          <w:szCs w:val="16"/>
        </w:rPr>
        <w:t>. Published online June 8, 2020. doi:10.1007/s11121-020-01136-0</w:t>
      </w:r>
    </w:p>
  </w:footnote>
  <w:footnote w:id="81">
    <w:p w14:paraId="5129EE94" w14:textId="6290ADA8" w:rsidR="00AE335F" w:rsidRPr="005B3A68" w:rsidRDefault="00AE335F">
      <w:pPr>
        <w:pStyle w:val="FootnoteText"/>
        <w:rPr>
          <w:sz w:val="16"/>
          <w:szCs w:val="16"/>
        </w:rPr>
      </w:pPr>
      <w:r w:rsidRPr="009B6E6B">
        <w:rPr>
          <w:rStyle w:val="FootnoteReference"/>
          <w:sz w:val="16"/>
          <w:szCs w:val="16"/>
        </w:rPr>
        <w:footnoteRef/>
      </w:r>
      <w:r w:rsidRPr="009B6E6B">
        <w:rPr>
          <w:sz w:val="16"/>
          <w:szCs w:val="16"/>
        </w:rPr>
        <w:t xml:space="preserve"> </w:t>
      </w:r>
      <w:r w:rsidRPr="009B6E6B">
        <w:rPr>
          <w:sz w:val="16"/>
          <w:szCs w:val="16"/>
        </w:rPr>
        <w:t>Jaques, PA, Zalay, M, Huang, A, Jee, K, Schick, SF. Measuring aerosol particle emissions from cannabis vaporization and dabbing. Presented at the 15th Conference of the International Society of Indoor Air Quality &amp; Climate. Philadelphia, PA, USA, July 22 to 27, 2018.</w:t>
      </w:r>
    </w:p>
  </w:footnote>
  <w:footnote w:id="82">
    <w:p w14:paraId="140860BE" w14:textId="4E104E17"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Fletcher LA, Toomey TL, </w:t>
      </w:r>
      <w:r w:rsidRPr="009B6E6B">
        <w:rPr>
          <w:sz w:val="16"/>
          <w:szCs w:val="16"/>
        </w:rPr>
        <w:t xml:space="preserve">Wagenaar AC, Short B, Willenbring ML. Alcohol home delivery services: a source of alcohol for underage drinkers. </w:t>
      </w:r>
      <w:r w:rsidRPr="009B6E6B">
        <w:rPr>
          <w:i/>
          <w:iCs/>
          <w:sz w:val="16"/>
          <w:szCs w:val="16"/>
        </w:rPr>
        <w:t>J Stud Alcohol</w:t>
      </w:r>
      <w:r w:rsidRPr="009B6E6B">
        <w:rPr>
          <w:sz w:val="16"/>
          <w:szCs w:val="16"/>
        </w:rPr>
        <w:t>. 2000;61(1):81-84.</w:t>
      </w:r>
    </w:p>
  </w:footnote>
  <w:footnote w:id="83">
    <w:p w14:paraId="2AD80364" w14:textId="36D615D5" w:rsidR="00AE335F" w:rsidRPr="009B6E6B" w:rsidRDefault="00AE335F">
      <w:pPr>
        <w:pStyle w:val="FootnoteText"/>
        <w:rPr>
          <w:sz w:val="16"/>
          <w:szCs w:val="16"/>
        </w:rPr>
      </w:pPr>
      <w:r w:rsidRPr="009B6E6B">
        <w:rPr>
          <w:rStyle w:val="FootnoteReference"/>
          <w:sz w:val="16"/>
          <w:szCs w:val="16"/>
        </w:rPr>
        <w:footnoteRef/>
      </w:r>
      <w:r w:rsidRPr="009B6E6B">
        <w:rPr>
          <w:sz w:val="16"/>
          <w:szCs w:val="16"/>
        </w:rPr>
        <w:t xml:space="preserve"> Peninsula Conflict Resolution Center, ibid.</w:t>
      </w:r>
    </w:p>
  </w:footnote>
  <w:footnote w:id="84">
    <w:p w14:paraId="07052BBE" w14:textId="77777777" w:rsidR="00AE335F" w:rsidRPr="00F247F7" w:rsidRDefault="00AE335F" w:rsidP="00F247F7">
      <w:pPr>
        <w:rPr>
          <w:rFonts w:asciiTheme="minorHAnsi" w:hAnsiTheme="minorHAnsi" w:cstheme="minorHAnsi"/>
          <w:sz w:val="16"/>
          <w:szCs w:val="16"/>
        </w:rPr>
      </w:pPr>
      <w:r w:rsidRPr="00F247F7">
        <w:rPr>
          <w:rStyle w:val="FootnoteReference"/>
          <w:rFonts w:asciiTheme="minorHAnsi" w:hAnsiTheme="minorHAnsi" w:cstheme="minorHAnsi"/>
          <w:sz w:val="16"/>
          <w:szCs w:val="16"/>
        </w:rPr>
        <w:footnoteRef/>
      </w:r>
      <w:r w:rsidRPr="00F247F7">
        <w:rPr>
          <w:rFonts w:asciiTheme="minorHAnsi" w:hAnsiTheme="minorHAnsi" w:cstheme="minorHAnsi"/>
          <w:sz w:val="16"/>
          <w:szCs w:val="16"/>
        </w:rPr>
        <w:t xml:space="preserve"> Ambrose BK, Day HR, </w:t>
      </w:r>
      <w:r w:rsidRPr="00F247F7">
        <w:rPr>
          <w:rFonts w:asciiTheme="minorHAnsi" w:hAnsiTheme="minorHAnsi" w:cstheme="minorHAnsi"/>
          <w:sz w:val="16"/>
          <w:szCs w:val="16"/>
        </w:rPr>
        <w:t xml:space="preserve">Rostron B, Conway KP, Borek N, Hyland A, Villanti AC. </w:t>
      </w:r>
      <w:r w:rsidRPr="00F247F7">
        <w:rPr>
          <w:rFonts w:asciiTheme="minorHAnsi" w:hAnsiTheme="minorHAnsi" w:cstheme="minorHAnsi"/>
          <w:i/>
          <w:iCs/>
          <w:sz w:val="16"/>
          <w:szCs w:val="16"/>
        </w:rPr>
        <w:t>Flavored tobacco product use among U.S. youth aged 12–17 years, 2013–2014</w:t>
      </w:r>
      <w:r w:rsidRPr="00F247F7">
        <w:rPr>
          <w:rFonts w:asciiTheme="minorHAnsi" w:hAnsiTheme="minorHAnsi" w:cstheme="minorHAnsi"/>
          <w:sz w:val="16"/>
          <w:szCs w:val="16"/>
        </w:rPr>
        <w:t xml:space="preserve">. JAMA: </w:t>
      </w:r>
      <w:r w:rsidRPr="00F247F7">
        <w:rPr>
          <w:rFonts w:asciiTheme="minorHAnsi" w:hAnsiTheme="minorHAnsi" w:cstheme="minorHAnsi"/>
          <w:sz w:val="16"/>
          <w:szCs w:val="16"/>
        </w:rPr>
        <w:t>the Journal of the American Medical Association; 314(17):1871–3; 2015</w:t>
      </w:r>
    </w:p>
    <w:p w14:paraId="2030D6A8" w14:textId="6C6BC56D" w:rsidR="00AE335F" w:rsidRDefault="00AE335F">
      <w:pPr>
        <w:pStyle w:val="FootnoteText"/>
      </w:pPr>
    </w:p>
  </w:footnote>
  <w:footnote w:id="85">
    <w:p w14:paraId="7DCF3376" w14:textId="671F8D31" w:rsidR="00AE335F" w:rsidRPr="00F247F7" w:rsidRDefault="00AE335F" w:rsidP="00F247F7">
      <w:pPr>
        <w:rPr>
          <w:rFonts w:asciiTheme="minorHAnsi" w:hAnsiTheme="minorHAnsi" w:cstheme="minorHAnsi"/>
          <w:sz w:val="16"/>
          <w:szCs w:val="16"/>
        </w:rPr>
      </w:pPr>
      <w:r w:rsidRPr="00F247F7">
        <w:rPr>
          <w:rStyle w:val="FootnoteReference"/>
          <w:rFonts w:asciiTheme="minorHAnsi" w:hAnsiTheme="minorHAnsi" w:cstheme="minorHAnsi"/>
          <w:sz w:val="16"/>
          <w:szCs w:val="16"/>
        </w:rPr>
        <w:footnoteRef/>
      </w:r>
      <w:r w:rsidRPr="00F247F7">
        <w:rPr>
          <w:rFonts w:asciiTheme="minorHAnsi" w:hAnsiTheme="minorHAnsi" w:cstheme="minorHAnsi"/>
          <w:sz w:val="16"/>
          <w:szCs w:val="16"/>
        </w:rPr>
        <w:t xml:space="preserve"> Food and Drug Administration (FDA). </w:t>
      </w:r>
      <w:r w:rsidRPr="00F247F7">
        <w:rPr>
          <w:rFonts w:asciiTheme="minorHAnsi" w:hAnsiTheme="minorHAnsi" w:cstheme="minorHAnsi"/>
          <w:i/>
          <w:iCs/>
          <w:sz w:val="16"/>
          <w:szCs w:val="16"/>
        </w:rPr>
        <w:t>Regulation of Flavors in Tobacco Products: Advance notice of proposed rulemaking</w:t>
      </w:r>
      <w:r w:rsidRPr="00F247F7">
        <w:rPr>
          <w:rFonts w:asciiTheme="minorHAnsi" w:hAnsiTheme="minorHAnsi" w:cstheme="minorHAnsi"/>
          <w:sz w:val="16"/>
          <w:szCs w:val="16"/>
        </w:rPr>
        <w:t xml:space="preserve">. Federal Register; 2018. Accessed October 8, 2020. </w:t>
      </w:r>
      <w:hyperlink r:id="rId19" w:history="1">
        <w:r w:rsidRPr="00F247F7">
          <w:rPr>
            <w:rStyle w:val="Hyperlink"/>
            <w:rFonts w:asciiTheme="minorHAnsi" w:hAnsiTheme="minorHAnsi" w:cstheme="minorHAnsi"/>
            <w:sz w:val="16"/>
            <w:szCs w:val="16"/>
          </w:rPr>
          <w:t>https://www.govinfo.gov/content/pkg/FR-2018-03-21/pdf/2018-05655.pdf</w:t>
        </w:r>
      </w:hyperlink>
    </w:p>
  </w:footnote>
  <w:footnote w:id="86">
    <w:p w14:paraId="2F109271" w14:textId="7625C613" w:rsidR="00AE335F" w:rsidRPr="00F247F7" w:rsidRDefault="00AE335F" w:rsidP="00F247F7">
      <w:pPr>
        <w:rPr>
          <w:rFonts w:asciiTheme="minorHAnsi" w:hAnsiTheme="minorHAnsi" w:cstheme="minorHAnsi"/>
          <w:sz w:val="16"/>
          <w:szCs w:val="16"/>
        </w:rPr>
      </w:pPr>
      <w:r w:rsidRPr="00F247F7">
        <w:rPr>
          <w:rStyle w:val="FootnoteReference"/>
          <w:rFonts w:asciiTheme="minorHAnsi" w:hAnsiTheme="minorHAnsi" w:cstheme="minorHAnsi"/>
          <w:sz w:val="16"/>
          <w:szCs w:val="16"/>
        </w:rPr>
        <w:footnoteRef/>
      </w:r>
      <w:r w:rsidRPr="00F247F7">
        <w:rPr>
          <w:rFonts w:asciiTheme="minorHAnsi" w:hAnsiTheme="minorHAnsi" w:cstheme="minorHAnsi"/>
          <w:sz w:val="16"/>
          <w:szCs w:val="16"/>
        </w:rPr>
        <w:t xml:space="preserve"> </w:t>
      </w:r>
      <w:r w:rsidRPr="00F247F7">
        <w:rPr>
          <w:rFonts w:asciiTheme="minorHAnsi" w:hAnsiTheme="minorHAnsi" w:cstheme="minorHAnsi"/>
          <w:sz w:val="16"/>
          <w:szCs w:val="16"/>
        </w:rPr>
        <w:t xml:space="preserve">Etiévant P, Guichard E, Salles C, Voilley A. </w:t>
      </w:r>
      <w:r w:rsidRPr="00F247F7">
        <w:rPr>
          <w:rFonts w:asciiTheme="minorHAnsi" w:hAnsiTheme="minorHAnsi" w:cstheme="minorHAnsi"/>
          <w:i/>
          <w:iCs/>
          <w:sz w:val="16"/>
          <w:szCs w:val="16"/>
        </w:rPr>
        <w:t>Flavor: from Food to Behaviors, Wellbeing and Health</w:t>
      </w:r>
      <w:r w:rsidRPr="00F247F7">
        <w:rPr>
          <w:rFonts w:asciiTheme="minorHAnsi" w:hAnsiTheme="minorHAnsi" w:cstheme="minorHAnsi"/>
          <w:sz w:val="16"/>
          <w:szCs w:val="16"/>
        </w:rPr>
        <w:t xml:space="preserve">. Duxford: Woodhead Publishing; 2016. </w:t>
      </w:r>
    </w:p>
  </w:footnote>
  <w:footnote w:id="87">
    <w:p w14:paraId="5919E721" w14:textId="306036DF" w:rsidR="00AE335F" w:rsidRPr="00F247F7" w:rsidRDefault="00AE335F" w:rsidP="00F247F7">
      <w:pPr>
        <w:rPr>
          <w:rFonts w:asciiTheme="minorHAnsi" w:hAnsiTheme="minorHAnsi" w:cstheme="minorHAnsi"/>
          <w:sz w:val="16"/>
          <w:szCs w:val="16"/>
        </w:rPr>
      </w:pPr>
      <w:r w:rsidRPr="00F247F7">
        <w:rPr>
          <w:rStyle w:val="FootnoteReference"/>
          <w:rFonts w:asciiTheme="minorHAnsi" w:hAnsiTheme="minorHAnsi" w:cstheme="minorHAnsi"/>
          <w:sz w:val="16"/>
          <w:szCs w:val="16"/>
        </w:rPr>
        <w:footnoteRef/>
      </w:r>
      <w:r w:rsidRPr="00F247F7">
        <w:rPr>
          <w:rFonts w:asciiTheme="minorHAnsi" w:hAnsiTheme="minorHAnsi" w:cstheme="minorHAnsi"/>
          <w:sz w:val="16"/>
          <w:szCs w:val="16"/>
        </w:rPr>
        <w:t xml:space="preserve"> </w:t>
      </w:r>
      <w:r w:rsidRPr="00F247F7">
        <w:rPr>
          <w:rFonts w:asciiTheme="minorHAnsi" w:hAnsiTheme="minorHAnsi" w:cstheme="minorHAnsi"/>
          <w:sz w:val="16"/>
          <w:szCs w:val="16"/>
        </w:rPr>
        <w:t xml:space="preserve">Piqueras-Fiszman B &amp; Spence C (Eds.), </w:t>
      </w:r>
      <w:r w:rsidRPr="00F247F7">
        <w:rPr>
          <w:rFonts w:asciiTheme="minorHAnsi" w:hAnsiTheme="minorHAnsi" w:cstheme="minorHAnsi"/>
          <w:i/>
          <w:iCs/>
          <w:sz w:val="16"/>
          <w:szCs w:val="16"/>
        </w:rPr>
        <w:t>Multisensory Flavor Perception: From Fundamental Neuroscience Through to the Marketplace</w:t>
      </w:r>
      <w:r w:rsidRPr="00F247F7">
        <w:rPr>
          <w:rFonts w:asciiTheme="minorHAnsi" w:hAnsiTheme="minorHAnsi" w:cstheme="minorHAnsi"/>
          <w:sz w:val="16"/>
          <w:szCs w:val="16"/>
        </w:rPr>
        <w:t xml:space="preserve">. Cambridge: Woodhead Publishing; 2016. </w:t>
      </w:r>
    </w:p>
  </w:footnote>
  <w:footnote w:id="88">
    <w:p w14:paraId="112B54BE" w14:textId="76121FF0" w:rsidR="00AE335F" w:rsidRPr="00F247F7" w:rsidRDefault="00AE335F" w:rsidP="00F247F7">
      <w:pPr>
        <w:rPr>
          <w:rFonts w:asciiTheme="minorHAnsi" w:hAnsiTheme="minorHAnsi" w:cstheme="minorHAnsi"/>
          <w:sz w:val="16"/>
          <w:szCs w:val="16"/>
        </w:rPr>
      </w:pPr>
      <w:r w:rsidRPr="00F247F7">
        <w:rPr>
          <w:rStyle w:val="FootnoteReference"/>
          <w:rFonts w:asciiTheme="minorHAnsi" w:hAnsiTheme="minorHAnsi" w:cstheme="minorHAnsi"/>
          <w:sz w:val="16"/>
          <w:szCs w:val="16"/>
        </w:rPr>
        <w:footnoteRef/>
      </w:r>
      <w:r w:rsidRPr="00F247F7">
        <w:rPr>
          <w:rFonts w:asciiTheme="minorHAnsi" w:hAnsiTheme="minorHAnsi" w:cstheme="minorHAnsi"/>
          <w:sz w:val="16"/>
          <w:szCs w:val="16"/>
        </w:rPr>
        <w:t xml:space="preserve"> Beauchamp GK &amp; Mennella JA. </w:t>
      </w:r>
      <w:r w:rsidRPr="00F247F7">
        <w:rPr>
          <w:rFonts w:asciiTheme="minorHAnsi" w:hAnsiTheme="minorHAnsi" w:cstheme="minorHAnsi"/>
          <w:i/>
          <w:iCs/>
          <w:sz w:val="16"/>
          <w:szCs w:val="16"/>
        </w:rPr>
        <w:t>Flavor Perception in Human Infants: Development and Functional Significance</w:t>
      </w:r>
      <w:r w:rsidRPr="00F247F7">
        <w:rPr>
          <w:rFonts w:asciiTheme="minorHAnsi" w:hAnsiTheme="minorHAnsi" w:cstheme="minorHAnsi"/>
          <w:sz w:val="16"/>
          <w:szCs w:val="16"/>
        </w:rPr>
        <w:t>. Digestion</w:t>
      </w:r>
      <w:r w:rsidRPr="00F247F7">
        <w:rPr>
          <w:rFonts w:asciiTheme="minorHAnsi" w:hAnsiTheme="minorHAnsi" w:cstheme="minorHAnsi"/>
          <w:i/>
          <w:iCs/>
          <w:sz w:val="16"/>
          <w:szCs w:val="16"/>
        </w:rPr>
        <w:t xml:space="preserve">; </w:t>
      </w:r>
      <w:r w:rsidRPr="00F247F7">
        <w:rPr>
          <w:rFonts w:asciiTheme="minorHAnsi" w:hAnsiTheme="minorHAnsi" w:cstheme="minorHAnsi"/>
          <w:sz w:val="16"/>
          <w:szCs w:val="16"/>
        </w:rPr>
        <w:t xml:space="preserve">83 Suppl 1:1–6; 2011. </w:t>
      </w:r>
    </w:p>
  </w:footnote>
  <w:footnote w:id="89">
    <w:p w14:paraId="50F466FE" w14:textId="3892E2C3" w:rsidR="00AE335F" w:rsidRPr="00F247F7" w:rsidRDefault="00AE335F" w:rsidP="00F247F7">
      <w:pPr>
        <w:rPr>
          <w:rFonts w:asciiTheme="minorHAnsi" w:hAnsiTheme="minorHAnsi" w:cstheme="minorHAnsi"/>
          <w:sz w:val="16"/>
          <w:szCs w:val="16"/>
        </w:rPr>
      </w:pPr>
      <w:r w:rsidRPr="00F247F7">
        <w:rPr>
          <w:rStyle w:val="FootnoteReference"/>
          <w:rFonts w:asciiTheme="minorHAnsi" w:hAnsiTheme="minorHAnsi" w:cstheme="minorHAnsi"/>
          <w:sz w:val="16"/>
          <w:szCs w:val="16"/>
        </w:rPr>
        <w:footnoteRef/>
      </w:r>
      <w:r w:rsidRPr="00F247F7">
        <w:rPr>
          <w:rFonts w:asciiTheme="minorHAnsi" w:hAnsiTheme="minorHAnsi" w:cstheme="minorHAnsi"/>
          <w:sz w:val="16"/>
          <w:szCs w:val="16"/>
        </w:rPr>
        <w:t xml:space="preserve"> Cowart B, Beauchamp G, Mennella J. </w:t>
      </w:r>
      <w:r w:rsidRPr="00F247F7">
        <w:rPr>
          <w:rFonts w:asciiTheme="minorHAnsi" w:hAnsiTheme="minorHAnsi" w:cstheme="minorHAnsi"/>
          <w:i/>
          <w:iCs/>
          <w:sz w:val="16"/>
          <w:szCs w:val="16"/>
        </w:rPr>
        <w:t>Development of Taste and Smell in the Neonate.</w:t>
      </w:r>
      <w:r w:rsidRPr="00F247F7">
        <w:rPr>
          <w:rFonts w:asciiTheme="minorHAnsi" w:hAnsiTheme="minorHAnsi" w:cstheme="minorHAnsi"/>
          <w:sz w:val="16"/>
          <w:szCs w:val="16"/>
        </w:rPr>
        <w:t xml:space="preserve"> In: </w:t>
      </w:r>
      <w:r w:rsidRPr="00F247F7">
        <w:rPr>
          <w:rFonts w:asciiTheme="minorHAnsi" w:hAnsiTheme="minorHAnsi" w:cstheme="minorHAnsi"/>
          <w:sz w:val="16"/>
          <w:szCs w:val="16"/>
        </w:rPr>
        <w:t xml:space="preserve">Polin R &amp; Abman S (Eds.), </w:t>
      </w:r>
      <w:r w:rsidRPr="00F247F7">
        <w:rPr>
          <w:rFonts w:asciiTheme="minorHAnsi" w:hAnsiTheme="minorHAnsi" w:cstheme="minorHAnsi"/>
          <w:i/>
          <w:iCs/>
          <w:sz w:val="16"/>
          <w:szCs w:val="16"/>
        </w:rPr>
        <w:t xml:space="preserve">Fetal and Neonatal Physiology, </w:t>
      </w:r>
      <w:r w:rsidRPr="00F247F7">
        <w:rPr>
          <w:rFonts w:asciiTheme="minorHAnsi" w:hAnsiTheme="minorHAnsi" w:cstheme="minorHAnsi"/>
          <w:sz w:val="16"/>
          <w:szCs w:val="16"/>
        </w:rPr>
        <w:t xml:space="preserve">pp.1899–1907. Philadelphia: Elsevier Saunders; 2011. </w:t>
      </w:r>
    </w:p>
  </w:footnote>
  <w:footnote w:id="90">
    <w:p w14:paraId="5373E790" w14:textId="633C395E" w:rsidR="00AE335F" w:rsidRPr="00F247F7" w:rsidRDefault="00AE335F" w:rsidP="00F247F7">
      <w:pPr>
        <w:rPr>
          <w:rFonts w:asciiTheme="minorHAnsi" w:hAnsiTheme="minorHAnsi" w:cstheme="minorHAnsi"/>
          <w:sz w:val="16"/>
          <w:szCs w:val="16"/>
        </w:rPr>
      </w:pPr>
      <w:r w:rsidRPr="00F247F7">
        <w:rPr>
          <w:rStyle w:val="FootnoteReference"/>
          <w:rFonts w:asciiTheme="minorHAnsi" w:hAnsiTheme="minorHAnsi" w:cstheme="minorHAnsi"/>
          <w:sz w:val="16"/>
          <w:szCs w:val="16"/>
        </w:rPr>
        <w:footnoteRef/>
      </w:r>
      <w:r w:rsidRPr="00F247F7">
        <w:rPr>
          <w:rFonts w:asciiTheme="minorHAnsi" w:hAnsiTheme="minorHAnsi" w:cstheme="minorHAnsi"/>
          <w:sz w:val="16"/>
          <w:szCs w:val="16"/>
        </w:rPr>
        <w:t xml:space="preserve"> Mennella JA, Pepino MY, Reed DR. </w:t>
      </w:r>
      <w:r w:rsidRPr="00F247F7">
        <w:rPr>
          <w:rFonts w:asciiTheme="minorHAnsi" w:hAnsiTheme="minorHAnsi" w:cstheme="minorHAnsi"/>
          <w:i/>
          <w:iCs/>
          <w:sz w:val="16"/>
          <w:szCs w:val="16"/>
        </w:rPr>
        <w:t>Genetic and Environmental Determinants of Bitter Perception and Sweet Preferences</w:t>
      </w:r>
      <w:r w:rsidRPr="00F247F7">
        <w:rPr>
          <w:rFonts w:asciiTheme="minorHAnsi" w:hAnsiTheme="minorHAnsi" w:cstheme="minorHAnsi"/>
          <w:sz w:val="16"/>
          <w:szCs w:val="16"/>
        </w:rPr>
        <w:t>. Pediatrics;</w:t>
      </w:r>
      <w:r w:rsidRPr="00F247F7">
        <w:rPr>
          <w:rFonts w:asciiTheme="minorHAnsi" w:hAnsiTheme="minorHAnsi" w:cstheme="minorHAnsi"/>
          <w:i/>
          <w:iCs/>
          <w:sz w:val="16"/>
          <w:szCs w:val="16"/>
        </w:rPr>
        <w:t xml:space="preserve"> </w:t>
      </w:r>
      <w:r w:rsidRPr="00F247F7">
        <w:rPr>
          <w:rFonts w:asciiTheme="minorHAnsi" w:hAnsiTheme="minorHAnsi" w:cstheme="minorHAnsi"/>
          <w:sz w:val="16"/>
          <w:szCs w:val="16"/>
        </w:rPr>
        <w:t>115(2</w:t>
      </w:r>
      <w:r w:rsidRPr="00F247F7">
        <w:rPr>
          <w:rFonts w:asciiTheme="minorHAnsi" w:hAnsiTheme="minorHAnsi" w:cstheme="minorHAnsi"/>
          <w:sz w:val="16"/>
          <w:szCs w:val="16"/>
        </w:rPr>
        <w:t xml:space="preserve">):e216-e222; 2005. </w:t>
      </w:r>
    </w:p>
  </w:footnote>
  <w:footnote w:id="91">
    <w:p w14:paraId="3DC633E4" w14:textId="445DF2E6" w:rsidR="00AE335F" w:rsidRPr="00F247F7" w:rsidRDefault="00AE335F" w:rsidP="00F247F7">
      <w:pPr>
        <w:rPr>
          <w:rFonts w:asciiTheme="minorHAnsi" w:hAnsiTheme="minorHAnsi" w:cstheme="minorHAnsi"/>
          <w:sz w:val="16"/>
          <w:szCs w:val="16"/>
        </w:rPr>
      </w:pPr>
      <w:r w:rsidRPr="00F247F7">
        <w:rPr>
          <w:rStyle w:val="FootnoteReference"/>
          <w:rFonts w:asciiTheme="minorHAnsi" w:hAnsiTheme="minorHAnsi" w:cstheme="minorHAnsi"/>
          <w:sz w:val="16"/>
          <w:szCs w:val="16"/>
        </w:rPr>
        <w:footnoteRef/>
      </w:r>
      <w:r w:rsidRPr="00F247F7">
        <w:rPr>
          <w:rFonts w:asciiTheme="minorHAnsi" w:hAnsiTheme="minorHAnsi" w:cstheme="minorHAnsi"/>
          <w:sz w:val="16"/>
          <w:szCs w:val="16"/>
        </w:rPr>
        <w:t xml:space="preserve"> </w:t>
      </w:r>
      <w:r w:rsidRPr="00F247F7">
        <w:rPr>
          <w:rFonts w:asciiTheme="minorHAnsi" w:hAnsiTheme="minorHAnsi" w:cstheme="minorHAnsi"/>
          <w:sz w:val="16"/>
          <w:szCs w:val="16"/>
        </w:rPr>
        <w:t xml:space="preserve">Desor JA &amp; Beauchamp GK. </w:t>
      </w:r>
      <w:r w:rsidRPr="00F247F7">
        <w:rPr>
          <w:rFonts w:asciiTheme="minorHAnsi" w:hAnsiTheme="minorHAnsi" w:cstheme="minorHAnsi"/>
          <w:i/>
          <w:iCs/>
          <w:sz w:val="16"/>
          <w:szCs w:val="16"/>
        </w:rPr>
        <w:t>Longitudinal Changes in Sweet Preferences in Humans</w:t>
      </w:r>
      <w:r w:rsidRPr="00F247F7">
        <w:rPr>
          <w:rFonts w:asciiTheme="minorHAnsi" w:hAnsiTheme="minorHAnsi" w:cstheme="minorHAnsi"/>
          <w:sz w:val="16"/>
          <w:szCs w:val="16"/>
        </w:rPr>
        <w:t>. Physiology and Behavior</w:t>
      </w:r>
      <w:r w:rsidRPr="00F247F7">
        <w:rPr>
          <w:rFonts w:asciiTheme="minorHAnsi" w:hAnsiTheme="minorHAnsi" w:cstheme="minorHAnsi"/>
          <w:i/>
          <w:iCs/>
          <w:sz w:val="16"/>
          <w:szCs w:val="16"/>
        </w:rPr>
        <w:t xml:space="preserve">; </w:t>
      </w:r>
      <w:r w:rsidRPr="00F247F7">
        <w:rPr>
          <w:rFonts w:asciiTheme="minorHAnsi" w:hAnsiTheme="minorHAnsi" w:cstheme="minorHAnsi"/>
          <w:sz w:val="16"/>
          <w:szCs w:val="16"/>
        </w:rPr>
        <w:t>39(5):639–641; 1987.</w:t>
      </w:r>
    </w:p>
  </w:footnote>
  <w:footnote w:id="92">
    <w:p w14:paraId="04985198" w14:textId="33DD1AE8" w:rsidR="00AE335F" w:rsidRPr="00274559" w:rsidRDefault="00AE335F" w:rsidP="00F247F7">
      <w:pPr>
        <w:rPr>
          <w:rFonts w:asciiTheme="minorHAnsi" w:hAnsiTheme="minorHAnsi" w:cstheme="minorHAnsi"/>
          <w:sz w:val="16"/>
          <w:szCs w:val="16"/>
        </w:rPr>
      </w:pPr>
      <w:r w:rsidRPr="00F247F7">
        <w:rPr>
          <w:rStyle w:val="FootnoteReference"/>
          <w:rFonts w:asciiTheme="minorHAnsi" w:hAnsiTheme="minorHAnsi" w:cstheme="minorHAnsi"/>
          <w:sz w:val="16"/>
          <w:szCs w:val="16"/>
        </w:rPr>
        <w:footnoteRef/>
      </w:r>
      <w:r w:rsidRPr="00F247F7">
        <w:rPr>
          <w:rFonts w:asciiTheme="minorHAnsi" w:hAnsiTheme="minorHAnsi" w:cstheme="minorHAnsi"/>
          <w:sz w:val="16"/>
          <w:szCs w:val="16"/>
        </w:rPr>
        <w:t xml:space="preserve"> Enns MP, Van </w:t>
      </w:r>
      <w:r w:rsidRPr="00F247F7">
        <w:rPr>
          <w:rFonts w:asciiTheme="minorHAnsi" w:hAnsiTheme="minorHAnsi" w:cstheme="minorHAnsi"/>
          <w:sz w:val="16"/>
          <w:szCs w:val="16"/>
        </w:rPr>
        <w:t xml:space="preserve">Itallie TB, Grinker JA. </w:t>
      </w:r>
      <w:r w:rsidRPr="00F247F7">
        <w:rPr>
          <w:rFonts w:asciiTheme="minorHAnsi" w:hAnsiTheme="minorHAnsi" w:cstheme="minorHAnsi"/>
          <w:i/>
          <w:iCs/>
          <w:sz w:val="16"/>
          <w:szCs w:val="16"/>
        </w:rPr>
        <w:t xml:space="preserve">Contributions of Age, Sex and Degree of Fatness on Preferences and Magnitude Estimations for Sucrose in </w:t>
      </w:r>
      <w:r w:rsidRPr="00274559">
        <w:rPr>
          <w:rFonts w:asciiTheme="minorHAnsi" w:hAnsiTheme="minorHAnsi" w:cstheme="minorHAnsi"/>
          <w:i/>
          <w:iCs/>
          <w:sz w:val="16"/>
          <w:szCs w:val="16"/>
        </w:rPr>
        <w:t>Humans</w:t>
      </w:r>
      <w:r w:rsidRPr="00274559">
        <w:rPr>
          <w:rFonts w:asciiTheme="minorHAnsi" w:hAnsiTheme="minorHAnsi" w:cstheme="minorHAnsi"/>
          <w:sz w:val="16"/>
          <w:szCs w:val="16"/>
        </w:rPr>
        <w:t xml:space="preserve">. Physiology and Behavior; 22(5):999–1003; 1979. </w:t>
      </w:r>
    </w:p>
  </w:footnote>
  <w:footnote w:id="93">
    <w:p w14:paraId="180BC7F6" w14:textId="1871C6DC" w:rsidR="00AE335F" w:rsidRPr="00274559" w:rsidRDefault="00AE335F" w:rsidP="00F247F7">
      <w:pPr>
        <w:rPr>
          <w:rFonts w:asciiTheme="minorHAnsi" w:hAnsiTheme="minorHAnsi" w:cstheme="minorHAnsi"/>
          <w:sz w:val="16"/>
          <w:szCs w:val="16"/>
        </w:rPr>
      </w:pPr>
      <w:r w:rsidRPr="00274559">
        <w:rPr>
          <w:rStyle w:val="FootnoteReference"/>
          <w:rFonts w:asciiTheme="minorHAnsi" w:hAnsiTheme="minorHAnsi" w:cstheme="minorHAnsi"/>
          <w:sz w:val="16"/>
          <w:szCs w:val="16"/>
        </w:rPr>
        <w:footnoteRef/>
      </w:r>
      <w:r w:rsidRPr="00274559">
        <w:rPr>
          <w:rFonts w:asciiTheme="minorHAnsi" w:hAnsiTheme="minorHAnsi" w:cstheme="minorHAnsi"/>
          <w:sz w:val="16"/>
          <w:szCs w:val="16"/>
        </w:rPr>
        <w:t xml:space="preserve"> De Graaf C &amp; Zandstra EH. </w:t>
      </w:r>
      <w:r w:rsidRPr="00274559">
        <w:rPr>
          <w:rFonts w:asciiTheme="minorHAnsi" w:hAnsiTheme="minorHAnsi" w:cstheme="minorHAnsi"/>
          <w:i/>
          <w:iCs/>
          <w:sz w:val="16"/>
          <w:szCs w:val="16"/>
        </w:rPr>
        <w:t>Sweetness Intensity and Pleasantness in Children, Adolescents, and Adults</w:t>
      </w:r>
      <w:r w:rsidRPr="00274559">
        <w:rPr>
          <w:rFonts w:asciiTheme="minorHAnsi" w:hAnsiTheme="minorHAnsi" w:cstheme="minorHAnsi"/>
          <w:sz w:val="16"/>
          <w:szCs w:val="16"/>
        </w:rPr>
        <w:t>. Physiology and Behavior;</w:t>
      </w:r>
      <w:r w:rsidRPr="00274559">
        <w:rPr>
          <w:rFonts w:asciiTheme="minorHAnsi" w:hAnsiTheme="minorHAnsi" w:cstheme="minorHAnsi"/>
          <w:i/>
          <w:iCs/>
          <w:sz w:val="16"/>
          <w:szCs w:val="16"/>
        </w:rPr>
        <w:t xml:space="preserve"> </w:t>
      </w:r>
      <w:r w:rsidRPr="00274559">
        <w:rPr>
          <w:rFonts w:asciiTheme="minorHAnsi" w:hAnsiTheme="minorHAnsi" w:cstheme="minorHAnsi"/>
          <w:sz w:val="16"/>
          <w:szCs w:val="16"/>
        </w:rPr>
        <w:t xml:space="preserve">67(4):513–520; 1999. </w:t>
      </w:r>
    </w:p>
  </w:footnote>
  <w:footnote w:id="94">
    <w:p w14:paraId="43816B4F" w14:textId="17A86B60" w:rsidR="00AE335F" w:rsidRPr="00274559" w:rsidRDefault="00AE335F" w:rsidP="00274559">
      <w:pPr>
        <w:rPr>
          <w:rFonts w:asciiTheme="minorHAnsi" w:hAnsiTheme="minorHAnsi" w:cstheme="minorHAnsi"/>
          <w:sz w:val="16"/>
          <w:szCs w:val="16"/>
        </w:rPr>
      </w:pPr>
      <w:r w:rsidRPr="00274559">
        <w:rPr>
          <w:rStyle w:val="FootnoteReference"/>
          <w:rFonts w:asciiTheme="minorHAnsi" w:hAnsiTheme="minorHAnsi" w:cstheme="minorHAnsi"/>
          <w:sz w:val="16"/>
          <w:szCs w:val="16"/>
        </w:rPr>
        <w:footnoteRef/>
      </w:r>
      <w:r w:rsidRPr="00274559">
        <w:rPr>
          <w:rFonts w:asciiTheme="minorHAnsi" w:hAnsiTheme="minorHAnsi" w:cstheme="minorHAnsi"/>
          <w:sz w:val="16"/>
          <w:szCs w:val="16"/>
        </w:rPr>
        <w:t xml:space="preserve"> </w:t>
      </w:r>
      <w:r w:rsidRPr="00274559">
        <w:rPr>
          <w:rFonts w:asciiTheme="minorHAnsi" w:hAnsiTheme="minorHAnsi" w:cstheme="minorHAnsi"/>
          <w:sz w:val="16"/>
          <w:szCs w:val="16"/>
        </w:rPr>
        <w:t xml:space="preserve">Etiévant P, Guichard E, Salles C, Voilley A. </w:t>
      </w:r>
      <w:r w:rsidRPr="00274559">
        <w:rPr>
          <w:rFonts w:asciiTheme="minorHAnsi" w:hAnsiTheme="minorHAnsi" w:cstheme="minorHAnsi"/>
          <w:i/>
          <w:iCs/>
          <w:sz w:val="16"/>
          <w:szCs w:val="16"/>
        </w:rPr>
        <w:t>Flavor: from Food to Behaviors, Wellbeing and Health</w:t>
      </w:r>
      <w:r w:rsidRPr="00274559">
        <w:rPr>
          <w:rFonts w:asciiTheme="minorHAnsi" w:hAnsiTheme="minorHAnsi" w:cstheme="minorHAnsi"/>
          <w:sz w:val="16"/>
          <w:szCs w:val="16"/>
        </w:rPr>
        <w:t xml:space="preserve">. Duxford: Woodhead Publishing; 2016. </w:t>
      </w:r>
    </w:p>
  </w:footnote>
  <w:footnote w:id="95">
    <w:p w14:paraId="7F6AF6E4" w14:textId="36D62FBC" w:rsidR="00AE335F" w:rsidRPr="00274559" w:rsidRDefault="00AE335F" w:rsidP="00274559">
      <w:pPr>
        <w:rPr>
          <w:rFonts w:asciiTheme="minorHAnsi" w:hAnsiTheme="minorHAnsi" w:cstheme="minorHAnsi"/>
          <w:sz w:val="16"/>
          <w:szCs w:val="16"/>
        </w:rPr>
      </w:pPr>
      <w:r w:rsidRPr="00274559">
        <w:rPr>
          <w:rStyle w:val="FootnoteReference"/>
          <w:rFonts w:asciiTheme="minorHAnsi" w:hAnsiTheme="minorHAnsi" w:cstheme="minorHAnsi"/>
          <w:sz w:val="16"/>
          <w:szCs w:val="16"/>
        </w:rPr>
        <w:footnoteRef/>
      </w:r>
      <w:r w:rsidRPr="00274559">
        <w:rPr>
          <w:rFonts w:asciiTheme="minorHAnsi" w:hAnsiTheme="minorHAnsi" w:cstheme="minorHAnsi"/>
          <w:sz w:val="16"/>
          <w:szCs w:val="16"/>
        </w:rPr>
        <w:t xml:space="preserve"> </w:t>
      </w:r>
      <w:r w:rsidRPr="00274559">
        <w:rPr>
          <w:rFonts w:asciiTheme="minorHAnsi" w:hAnsiTheme="minorHAnsi" w:cstheme="minorHAnsi"/>
          <w:sz w:val="16"/>
          <w:szCs w:val="16"/>
        </w:rPr>
        <w:t xml:space="preserve">Touzani K, Bodnar RJ, Sclafani A. </w:t>
      </w:r>
      <w:r w:rsidRPr="00274559">
        <w:rPr>
          <w:rFonts w:asciiTheme="minorHAnsi" w:hAnsiTheme="minorHAnsi" w:cstheme="minorHAnsi"/>
          <w:i/>
          <w:iCs/>
          <w:sz w:val="16"/>
          <w:szCs w:val="16"/>
        </w:rPr>
        <w:t>Neuropharmacology of Learned Flavor Preferences</w:t>
      </w:r>
      <w:r w:rsidRPr="00274559">
        <w:rPr>
          <w:rFonts w:asciiTheme="minorHAnsi" w:hAnsiTheme="minorHAnsi" w:cstheme="minorHAnsi"/>
          <w:sz w:val="16"/>
          <w:szCs w:val="16"/>
        </w:rPr>
        <w:t>. Pharmacology, Biochemistry, and Behavior;</w:t>
      </w:r>
      <w:r w:rsidRPr="00274559">
        <w:rPr>
          <w:rFonts w:asciiTheme="minorHAnsi" w:hAnsiTheme="minorHAnsi" w:cstheme="minorHAnsi"/>
          <w:i/>
          <w:iCs/>
          <w:sz w:val="16"/>
          <w:szCs w:val="16"/>
        </w:rPr>
        <w:t xml:space="preserve"> </w:t>
      </w:r>
      <w:r w:rsidRPr="00274559">
        <w:rPr>
          <w:rFonts w:asciiTheme="minorHAnsi" w:hAnsiTheme="minorHAnsi" w:cstheme="minorHAnsi"/>
          <w:sz w:val="16"/>
          <w:szCs w:val="16"/>
        </w:rPr>
        <w:t xml:space="preserve">97(1):55–62; 2010. </w:t>
      </w:r>
    </w:p>
  </w:footnote>
  <w:footnote w:id="96">
    <w:p w14:paraId="51FCC4AB" w14:textId="3131D7C9" w:rsidR="00AE335F" w:rsidRPr="00274559" w:rsidRDefault="00AE335F" w:rsidP="00274559">
      <w:pPr>
        <w:rPr>
          <w:rFonts w:asciiTheme="minorHAnsi" w:hAnsiTheme="minorHAnsi" w:cstheme="minorHAnsi"/>
          <w:sz w:val="16"/>
          <w:szCs w:val="16"/>
        </w:rPr>
      </w:pPr>
      <w:r w:rsidRPr="00274559">
        <w:rPr>
          <w:rStyle w:val="FootnoteReference"/>
          <w:rFonts w:asciiTheme="minorHAnsi" w:hAnsiTheme="minorHAnsi" w:cstheme="minorHAnsi"/>
          <w:sz w:val="16"/>
          <w:szCs w:val="16"/>
        </w:rPr>
        <w:footnoteRef/>
      </w:r>
      <w:r w:rsidRPr="00274559">
        <w:rPr>
          <w:rFonts w:asciiTheme="minorHAnsi" w:hAnsiTheme="minorHAnsi" w:cstheme="minorHAnsi"/>
          <w:sz w:val="16"/>
          <w:szCs w:val="16"/>
        </w:rPr>
        <w:t xml:space="preserve"> </w:t>
      </w:r>
      <w:r w:rsidRPr="00274559">
        <w:rPr>
          <w:rFonts w:asciiTheme="minorHAnsi" w:hAnsiTheme="minorHAnsi" w:cstheme="minorHAnsi"/>
          <w:sz w:val="16"/>
          <w:szCs w:val="16"/>
        </w:rPr>
        <w:t xml:space="preserve">Palmatier MI, Lantz JE, O’Brien LC, Metz SP. </w:t>
      </w:r>
      <w:r w:rsidRPr="00274559">
        <w:rPr>
          <w:rFonts w:asciiTheme="minorHAnsi" w:hAnsiTheme="minorHAnsi" w:cstheme="minorHAnsi"/>
          <w:i/>
          <w:iCs/>
          <w:sz w:val="16"/>
          <w:szCs w:val="16"/>
        </w:rPr>
        <w:t>Effects of Nicotine on Olfactogustatory Incentives: Preference, Palatability, and Operant Choice Tests</w:t>
      </w:r>
      <w:r w:rsidRPr="00274559">
        <w:rPr>
          <w:rFonts w:asciiTheme="minorHAnsi" w:hAnsiTheme="minorHAnsi" w:cstheme="minorHAnsi"/>
          <w:sz w:val="16"/>
          <w:szCs w:val="16"/>
        </w:rPr>
        <w:t>. Nicotine &amp; Tobacco Research;</w:t>
      </w:r>
      <w:r w:rsidRPr="00274559">
        <w:rPr>
          <w:rFonts w:asciiTheme="minorHAnsi" w:hAnsiTheme="minorHAnsi" w:cstheme="minorHAnsi"/>
          <w:i/>
          <w:iCs/>
          <w:sz w:val="16"/>
          <w:szCs w:val="16"/>
        </w:rPr>
        <w:t xml:space="preserve"> </w:t>
      </w:r>
      <w:r w:rsidRPr="00274559">
        <w:rPr>
          <w:rFonts w:asciiTheme="minorHAnsi" w:hAnsiTheme="minorHAnsi" w:cstheme="minorHAnsi"/>
          <w:sz w:val="16"/>
          <w:szCs w:val="16"/>
        </w:rPr>
        <w:t xml:space="preserve">15(9):1545–1554; 2013. </w:t>
      </w:r>
    </w:p>
  </w:footnote>
  <w:footnote w:id="97">
    <w:p w14:paraId="0FE5D503" w14:textId="76E102B5" w:rsidR="00AE335F" w:rsidRPr="00274559" w:rsidRDefault="00AE335F" w:rsidP="00274559">
      <w:pPr>
        <w:rPr>
          <w:rFonts w:asciiTheme="minorHAnsi" w:hAnsiTheme="minorHAnsi" w:cstheme="minorHAnsi"/>
          <w:sz w:val="16"/>
          <w:szCs w:val="16"/>
        </w:rPr>
      </w:pPr>
      <w:r w:rsidRPr="00274559">
        <w:rPr>
          <w:rStyle w:val="FootnoteReference"/>
          <w:rFonts w:asciiTheme="minorHAnsi" w:hAnsiTheme="minorHAnsi" w:cstheme="minorHAnsi"/>
          <w:sz w:val="16"/>
          <w:szCs w:val="16"/>
        </w:rPr>
        <w:footnoteRef/>
      </w:r>
      <w:r w:rsidRPr="00274559">
        <w:rPr>
          <w:rFonts w:asciiTheme="minorHAnsi" w:hAnsiTheme="minorHAnsi" w:cstheme="minorHAnsi"/>
          <w:sz w:val="16"/>
          <w:szCs w:val="16"/>
        </w:rPr>
        <w:t xml:space="preserve"> Brown JE, Luo W, Isabelle LM, Pankow JF. </w:t>
      </w:r>
      <w:r w:rsidRPr="00274559">
        <w:rPr>
          <w:rFonts w:asciiTheme="minorHAnsi" w:hAnsiTheme="minorHAnsi" w:cstheme="minorHAnsi"/>
          <w:i/>
          <w:iCs/>
          <w:sz w:val="16"/>
          <w:szCs w:val="16"/>
        </w:rPr>
        <w:t>Candy Flavorings in Tobacco</w:t>
      </w:r>
      <w:r w:rsidRPr="00274559">
        <w:rPr>
          <w:rFonts w:asciiTheme="minorHAnsi" w:hAnsiTheme="minorHAnsi" w:cstheme="minorHAnsi"/>
          <w:sz w:val="16"/>
          <w:szCs w:val="16"/>
        </w:rPr>
        <w:t xml:space="preserve">. New England Journal of Medicine; 370(23):2250–2252; 2014. </w:t>
      </w:r>
    </w:p>
  </w:footnote>
  <w:footnote w:id="98">
    <w:p w14:paraId="2C4A1A09" w14:textId="60300193" w:rsidR="00AE335F" w:rsidRPr="00274559" w:rsidRDefault="00AE335F" w:rsidP="00274559">
      <w:pPr>
        <w:rPr>
          <w:rFonts w:asciiTheme="minorHAnsi" w:hAnsiTheme="minorHAnsi" w:cstheme="minorHAnsi"/>
          <w:sz w:val="16"/>
          <w:szCs w:val="16"/>
        </w:rPr>
      </w:pPr>
      <w:r w:rsidRPr="00274559">
        <w:rPr>
          <w:rStyle w:val="FootnoteReference"/>
          <w:rFonts w:asciiTheme="minorHAnsi" w:hAnsiTheme="minorHAnsi" w:cstheme="minorHAnsi"/>
          <w:sz w:val="16"/>
          <w:szCs w:val="16"/>
        </w:rPr>
        <w:footnoteRef/>
      </w:r>
      <w:r w:rsidRPr="00274559">
        <w:rPr>
          <w:rFonts w:asciiTheme="minorHAnsi" w:hAnsiTheme="minorHAnsi" w:cstheme="minorHAnsi"/>
          <w:sz w:val="16"/>
          <w:szCs w:val="16"/>
        </w:rPr>
        <w:t xml:space="preserve"> Chen C, Isabelle LM, </w:t>
      </w:r>
      <w:r w:rsidRPr="00274559">
        <w:rPr>
          <w:rFonts w:asciiTheme="minorHAnsi" w:hAnsiTheme="minorHAnsi" w:cstheme="minorHAnsi"/>
          <w:sz w:val="16"/>
          <w:szCs w:val="16"/>
        </w:rPr>
        <w:t xml:space="preserve">Pickworth WB, Pankow JF. </w:t>
      </w:r>
      <w:r w:rsidRPr="00274559">
        <w:rPr>
          <w:rFonts w:asciiTheme="minorHAnsi" w:hAnsiTheme="minorHAnsi" w:cstheme="minorHAnsi"/>
          <w:i/>
          <w:iCs/>
          <w:sz w:val="16"/>
          <w:szCs w:val="16"/>
        </w:rPr>
        <w:t>Levels of mint and wintergreen flavorants: smokeless tobacco products vs. confectionery products</w:t>
      </w:r>
      <w:r w:rsidRPr="00274559">
        <w:rPr>
          <w:rFonts w:asciiTheme="minorHAnsi" w:hAnsiTheme="minorHAnsi" w:cstheme="minorHAnsi"/>
          <w:sz w:val="16"/>
          <w:szCs w:val="16"/>
        </w:rPr>
        <w:t xml:space="preserve">. Food and Chemical Toxicology: An International Journal Published for the British Industrial Biological Research Association; 48(2):755–763; 2010. </w:t>
      </w:r>
    </w:p>
  </w:footnote>
  <w:footnote w:id="99">
    <w:p w14:paraId="37C4C346" w14:textId="17D19808" w:rsidR="00AE335F" w:rsidRPr="00274559" w:rsidRDefault="00AE335F" w:rsidP="00274559">
      <w:pPr>
        <w:rPr>
          <w:rFonts w:asciiTheme="minorHAnsi" w:hAnsiTheme="minorHAnsi" w:cstheme="minorHAnsi"/>
          <w:sz w:val="16"/>
          <w:szCs w:val="16"/>
        </w:rPr>
      </w:pPr>
      <w:r w:rsidRPr="00274559">
        <w:rPr>
          <w:rStyle w:val="FootnoteReference"/>
          <w:rFonts w:asciiTheme="minorHAnsi" w:hAnsiTheme="minorHAnsi" w:cstheme="minorHAnsi"/>
          <w:sz w:val="16"/>
          <w:szCs w:val="16"/>
        </w:rPr>
        <w:footnoteRef/>
      </w:r>
      <w:r w:rsidRPr="00274559">
        <w:rPr>
          <w:rFonts w:asciiTheme="minorHAnsi" w:hAnsiTheme="minorHAnsi" w:cstheme="minorHAnsi"/>
          <w:sz w:val="16"/>
          <w:szCs w:val="16"/>
        </w:rPr>
        <w:t xml:space="preserve"> Huang LL, Baker HM, </w:t>
      </w:r>
      <w:r w:rsidRPr="00274559">
        <w:rPr>
          <w:rFonts w:asciiTheme="minorHAnsi" w:hAnsiTheme="minorHAnsi" w:cstheme="minorHAnsi"/>
          <w:sz w:val="16"/>
          <w:szCs w:val="16"/>
        </w:rPr>
        <w:t xml:space="preserve">Meernik C, Ranney LM, Richardson A, Goldstein AO. </w:t>
      </w:r>
      <w:r w:rsidRPr="00274559">
        <w:rPr>
          <w:rFonts w:asciiTheme="minorHAnsi" w:hAnsiTheme="minorHAnsi" w:cstheme="minorHAnsi"/>
          <w:i/>
          <w:iCs/>
          <w:sz w:val="16"/>
          <w:szCs w:val="16"/>
        </w:rPr>
        <w:t>Impact of non-menthol flavours in tobacco products on perceptions and use among youth, young adults and adults: a systematic review</w:t>
      </w:r>
      <w:r w:rsidRPr="00274559">
        <w:rPr>
          <w:rFonts w:asciiTheme="minorHAnsi" w:hAnsiTheme="minorHAnsi" w:cstheme="minorHAnsi"/>
          <w:sz w:val="16"/>
          <w:szCs w:val="16"/>
        </w:rPr>
        <w:t>. Tobacco Control; 26(6):709-719; 2016.</w:t>
      </w:r>
    </w:p>
  </w:footnote>
  <w:footnote w:id="100">
    <w:p w14:paraId="440C7DBA" w14:textId="5EC2256C" w:rsidR="00AE335F" w:rsidRPr="00274559" w:rsidRDefault="00AE335F" w:rsidP="00274559">
      <w:pPr>
        <w:rPr>
          <w:rFonts w:asciiTheme="minorHAnsi" w:hAnsiTheme="minorHAnsi" w:cstheme="minorHAnsi"/>
          <w:sz w:val="16"/>
          <w:szCs w:val="16"/>
        </w:rPr>
      </w:pPr>
      <w:r w:rsidRPr="00274559">
        <w:rPr>
          <w:rStyle w:val="FootnoteReference"/>
          <w:rFonts w:asciiTheme="minorHAnsi" w:hAnsiTheme="minorHAnsi" w:cstheme="minorHAnsi"/>
          <w:sz w:val="16"/>
          <w:szCs w:val="16"/>
        </w:rPr>
        <w:footnoteRef/>
      </w:r>
      <w:r w:rsidRPr="00274559">
        <w:rPr>
          <w:rFonts w:asciiTheme="minorHAnsi" w:hAnsiTheme="minorHAnsi" w:cstheme="minorHAnsi"/>
          <w:sz w:val="16"/>
          <w:szCs w:val="16"/>
        </w:rPr>
        <w:t xml:space="preserve"> </w:t>
      </w:r>
      <w:r w:rsidRPr="00274559">
        <w:rPr>
          <w:rFonts w:asciiTheme="minorHAnsi" w:hAnsiTheme="minorHAnsi" w:cstheme="minorHAnsi"/>
          <w:sz w:val="16"/>
          <w:szCs w:val="16"/>
        </w:rPr>
        <w:t xml:space="preserve">Kowitt SD, Meernik C, Baker HM, Osman A, Huang LL, Goldstein AO. </w:t>
      </w:r>
      <w:r w:rsidRPr="00274559">
        <w:rPr>
          <w:rFonts w:asciiTheme="minorHAnsi" w:hAnsiTheme="minorHAnsi" w:cstheme="minorHAnsi"/>
          <w:i/>
          <w:iCs/>
          <w:sz w:val="16"/>
          <w:szCs w:val="16"/>
        </w:rPr>
        <w:t>Perceptions and Experiences with Flavored Non-Menthol Tobacco Products: A Systematic Review of Qualitative Studies</w:t>
      </w:r>
      <w:r w:rsidRPr="00274559">
        <w:rPr>
          <w:rFonts w:asciiTheme="minorHAnsi" w:hAnsiTheme="minorHAnsi" w:cstheme="minorHAnsi"/>
          <w:sz w:val="16"/>
          <w:szCs w:val="16"/>
        </w:rPr>
        <w:t>. International Journal of Environmental Research and Public Health;</w:t>
      </w:r>
      <w:r w:rsidRPr="00274559">
        <w:rPr>
          <w:rFonts w:asciiTheme="minorHAnsi" w:hAnsiTheme="minorHAnsi" w:cstheme="minorHAnsi"/>
          <w:i/>
          <w:iCs/>
          <w:sz w:val="16"/>
          <w:szCs w:val="16"/>
        </w:rPr>
        <w:t xml:space="preserve"> </w:t>
      </w:r>
      <w:r w:rsidRPr="00274559">
        <w:rPr>
          <w:rFonts w:asciiTheme="minorHAnsi" w:hAnsiTheme="minorHAnsi" w:cstheme="minorHAnsi"/>
          <w:sz w:val="16"/>
          <w:szCs w:val="16"/>
        </w:rPr>
        <w:t xml:space="preserve">14(4):338; 2017. </w:t>
      </w:r>
    </w:p>
  </w:footnote>
  <w:footnote w:id="101">
    <w:p w14:paraId="693B37DA" w14:textId="77777777" w:rsidR="00AE335F" w:rsidRPr="00897162" w:rsidRDefault="00AE335F" w:rsidP="00864E02">
      <w:pPr>
        <w:pStyle w:val="FootnoteText"/>
        <w:rPr>
          <w:sz w:val="16"/>
          <w:szCs w:val="16"/>
          <w:lang w:val="fr-FR"/>
        </w:rPr>
      </w:pPr>
      <w:r w:rsidRPr="00897162">
        <w:rPr>
          <w:rStyle w:val="FootnoteReference"/>
          <w:rFonts w:cstheme="minorHAnsi"/>
          <w:sz w:val="16"/>
          <w:szCs w:val="16"/>
        </w:rPr>
        <w:footnoteRef/>
      </w:r>
      <w:r w:rsidRPr="00897162">
        <w:rPr>
          <w:rFonts w:cstheme="minorHAnsi"/>
          <w:sz w:val="16"/>
          <w:szCs w:val="16"/>
          <w:lang w:val="fr-FR"/>
        </w:rPr>
        <w:t xml:space="preserve"> Di </w:t>
      </w:r>
      <w:r w:rsidRPr="00897162">
        <w:rPr>
          <w:rFonts w:cstheme="minorHAnsi"/>
          <w:sz w:val="16"/>
          <w:szCs w:val="16"/>
          <w:lang w:val="fr-FR"/>
        </w:rPr>
        <w:t>Forti M. et al., ibid.</w:t>
      </w:r>
    </w:p>
  </w:footnote>
  <w:footnote w:id="102">
    <w:p w14:paraId="2FE4BF34" w14:textId="51D06638" w:rsidR="00AE335F" w:rsidRPr="00864E02" w:rsidRDefault="00AE335F">
      <w:pPr>
        <w:pStyle w:val="FootnoteText"/>
      </w:pPr>
      <w:r w:rsidRPr="00897162">
        <w:rPr>
          <w:rStyle w:val="FootnoteReference"/>
          <w:sz w:val="16"/>
          <w:szCs w:val="16"/>
        </w:rPr>
        <w:footnoteRef/>
      </w:r>
      <w:r w:rsidRPr="00897162">
        <w:rPr>
          <w:sz w:val="16"/>
          <w:szCs w:val="16"/>
        </w:rPr>
        <w:t xml:space="preserve"> </w:t>
      </w:r>
      <w:r w:rsidRPr="00897162">
        <w:rPr>
          <w:sz w:val="16"/>
          <w:szCs w:val="16"/>
        </w:rPr>
        <w:t xml:space="preserve">Quattrone D, Freeman TP, et al. The contribution of cannabis </w:t>
      </w:r>
      <w:r w:rsidRPr="00897162">
        <w:rPr>
          <w:sz w:val="16"/>
          <w:szCs w:val="16"/>
        </w:rPr>
        <w:t xml:space="preserve">use to variation in the incidence of psychotic disorder across Europe (EU-GEI): a multicenter case-control study. </w:t>
      </w:r>
      <w:r w:rsidRPr="00897162">
        <w:rPr>
          <w:i/>
          <w:iCs/>
          <w:sz w:val="16"/>
          <w:szCs w:val="16"/>
        </w:rPr>
        <w:t>Lancet Psychiatry</w:t>
      </w:r>
      <w:r w:rsidRPr="00897162">
        <w:rPr>
          <w:sz w:val="16"/>
          <w:szCs w:val="16"/>
        </w:rPr>
        <w:t>. 2019; 6(5): 427-436. Doi:10.1016/S2215-0366(19)30048-3</w:t>
      </w:r>
    </w:p>
  </w:footnote>
  <w:footnote w:id="103">
    <w:p w14:paraId="628B3FA9" w14:textId="52543620" w:rsidR="00AE335F" w:rsidRPr="00864E02" w:rsidRDefault="00AE335F">
      <w:pPr>
        <w:pStyle w:val="FootnoteText"/>
        <w:rPr>
          <w:sz w:val="16"/>
          <w:szCs w:val="16"/>
        </w:rPr>
      </w:pPr>
      <w:r w:rsidRPr="00864E02">
        <w:rPr>
          <w:rStyle w:val="FootnoteReference"/>
          <w:sz w:val="16"/>
          <w:szCs w:val="16"/>
        </w:rPr>
        <w:footnoteRef/>
      </w:r>
      <w:r w:rsidRPr="00864E02">
        <w:rPr>
          <w:sz w:val="16"/>
          <w:szCs w:val="16"/>
        </w:rPr>
        <w:t xml:space="preserve"> </w:t>
      </w:r>
      <w:r w:rsidRPr="00864E02">
        <w:rPr>
          <w:sz w:val="16"/>
          <w:szCs w:val="16"/>
        </w:rPr>
        <w:t xml:space="preserve">Noar SM, Francis DB, Bridges C, Sontag JM, Ribisl KM, Brewer NT. The impact of strengthening cigarette pack warnings: Systematic review of longitudinal observational studies. </w:t>
      </w:r>
      <w:r w:rsidRPr="00864E02">
        <w:rPr>
          <w:i/>
          <w:iCs/>
          <w:sz w:val="16"/>
          <w:szCs w:val="16"/>
        </w:rPr>
        <w:t>Soc Sci Med 1982</w:t>
      </w:r>
      <w:r w:rsidRPr="00864E02">
        <w:rPr>
          <w:sz w:val="16"/>
          <w:szCs w:val="16"/>
        </w:rPr>
        <w:t xml:space="preserve">. </w:t>
      </w:r>
      <w:r w:rsidRPr="00864E02">
        <w:rPr>
          <w:sz w:val="16"/>
          <w:szCs w:val="16"/>
        </w:rPr>
        <w:t>2016;164:118-129. doi:10.1016/j.socscimed.2016.06.011</w:t>
      </w:r>
    </w:p>
  </w:footnote>
  <w:footnote w:id="104">
    <w:p w14:paraId="6F521896" w14:textId="175047DA" w:rsidR="00AE335F" w:rsidRPr="00864E02" w:rsidRDefault="00AE335F">
      <w:pPr>
        <w:pStyle w:val="FootnoteText"/>
        <w:rPr>
          <w:sz w:val="16"/>
          <w:szCs w:val="16"/>
        </w:rPr>
      </w:pPr>
      <w:r w:rsidRPr="00864E02">
        <w:rPr>
          <w:rStyle w:val="FootnoteReference"/>
          <w:sz w:val="16"/>
          <w:szCs w:val="16"/>
        </w:rPr>
        <w:footnoteRef/>
      </w:r>
      <w:r w:rsidRPr="00864E02">
        <w:rPr>
          <w:sz w:val="16"/>
          <w:szCs w:val="16"/>
        </w:rPr>
        <w:t xml:space="preserve"> Hammond D, Reid JL, </w:t>
      </w:r>
      <w:r w:rsidRPr="00864E02">
        <w:rPr>
          <w:sz w:val="16"/>
          <w:szCs w:val="16"/>
        </w:rPr>
        <w:t xml:space="preserve">Driezen P, Boudreau C. Pictorial health warnings on cigarette packs in the United States: an experimental evaluation of the proposed FDA warnings. </w:t>
      </w:r>
      <w:r w:rsidRPr="00864E02">
        <w:rPr>
          <w:i/>
          <w:iCs/>
          <w:sz w:val="16"/>
          <w:szCs w:val="16"/>
        </w:rPr>
        <w:t>Nicotine Tob Res Off J Soc Res Nicotine Tob</w:t>
      </w:r>
      <w:r w:rsidRPr="00864E02">
        <w:rPr>
          <w:sz w:val="16"/>
          <w:szCs w:val="16"/>
        </w:rPr>
        <w:t>. 2013;15(1):93-102. doi:10.1093/ntr/nts094</w:t>
      </w:r>
    </w:p>
  </w:footnote>
  <w:footnote w:id="105">
    <w:p w14:paraId="47171F7E" w14:textId="53AD9247" w:rsidR="00AE335F" w:rsidRDefault="00AE335F">
      <w:pPr>
        <w:pStyle w:val="FootnoteText"/>
      </w:pPr>
      <w:r w:rsidRPr="00864E02">
        <w:rPr>
          <w:rStyle w:val="FootnoteReference"/>
          <w:sz w:val="16"/>
          <w:szCs w:val="16"/>
        </w:rPr>
        <w:footnoteRef/>
      </w:r>
      <w:r w:rsidRPr="00864E02">
        <w:rPr>
          <w:sz w:val="16"/>
          <w:szCs w:val="16"/>
        </w:rPr>
        <w:t xml:space="preserve"> Bansal-Travers M, Hammond D, Smith P, Cummings KM. The Impact of Cigarette Pack Design, Descriptors, and Warning Labels on Risk Perception in the U.S. </w:t>
      </w:r>
      <w:r w:rsidRPr="00864E02">
        <w:rPr>
          <w:i/>
          <w:iCs/>
          <w:sz w:val="16"/>
          <w:szCs w:val="16"/>
        </w:rPr>
        <w:t xml:space="preserve">Am J </w:t>
      </w:r>
      <w:r w:rsidRPr="00864E02">
        <w:rPr>
          <w:i/>
          <w:iCs/>
          <w:sz w:val="16"/>
          <w:szCs w:val="16"/>
        </w:rPr>
        <w:t>Prev Med</w:t>
      </w:r>
      <w:r w:rsidRPr="00864E02">
        <w:rPr>
          <w:sz w:val="16"/>
          <w:szCs w:val="16"/>
        </w:rPr>
        <w:t xml:space="preserve">. 2011;40(6). </w:t>
      </w:r>
      <w:r w:rsidRPr="00864E02">
        <w:rPr>
          <w:sz w:val="16"/>
          <w:szCs w:val="16"/>
        </w:rPr>
        <w:t>doi:10.1016/j.amepre.2011.01.021</w:t>
      </w:r>
    </w:p>
  </w:footnote>
  <w:footnote w:id="106">
    <w:p w14:paraId="2531F9FF" w14:textId="79EAD800" w:rsidR="00AE335F" w:rsidRPr="00CE4BA1" w:rsidRDefault="00AE335F">
      <w:pPr>
        <w:pStyle w:val="FootnoteText"/>
        <w:rPr>
          <w:sz w:val="16"/>
          <w:szCs w:val="16"/>
        </w:rPr>
      </w:pPr>
      <w:r w:rsidRPr="00CE4BA1">
        <w:rPr>
          <w:rStyle w:val="FootnoteReference"/>
          <w:sz w:val="16"/>
          <w:szCs w:val="16"/>
        </w:rPr>
        <w:footnoteRef/>
      </w:r>
      <w:r w:rsidRPr="00CE4BA1">
        <w:rPr>
          <w:sz w:val="16"/>
          <w:szCs w:val="16"/>
        </w:rPr>
        <w:t xml:space="preserve"> </w:t>
      </w:r>
      <w:r w:rsidRPr="00CE4BA1">
        <w:rPr>
          <w:rFonts w:ascii="Times New Roman" w:hAnsi="Times New Roman" w:cs="Times New Roman"/>
          <w:sz w:val="16"/>
          <w:szCs w:val="16"/>
        </w:rPr>
        <w:t xml:space="preserve">Distilled Spirits Council of the United States. </w:t>
      </w:r>
      <w:r w:rsidRPr="00CE4BA1">
        <w:rPr>
          <w:rFonts w:ascii="Times New Roman" w:hAnsi="Times New Roman" w:cs="Times New Roman"/>
          <w:i/>
          <w:iCs/>
          <w:sz w:val="16"/>
          <w:szCs w:val="16"/>
        </w:rPr>
        <w:t>Code of Responsible Practices for Beverage Alcohol Advertising and Marketing</w:t>
      </w:r>
      <w:r w:rsidRPr="00CE4BA1">
        <w:rPr>
          <w:rFonts w:ascii="Times New Roman" w:hAnsi="Times New Roman" w:cs="Times New Roman"/>
          <w:sz w:val="16"/>
          <w:szCs w:val="16"/>
        </w:rPr>
        <w:t>.; 2011. Accessed April 13, 2015. http://www.discus.org/assets/1/7/May_26_2011_DISCUS_Code_Word_Version1.pdf</w:t>
      </w:r>
    </w:p>
  </w:footnote>
  <w:footnote w:id="107">
    <w:p w14:paraId="7431CBFA" w14:textId="0A52F027" w:rsidR="00AE335F" w:rsidRPr="00CE4BA1" w:rsidRDefault="00AE335F">
      <w:pPr>
        <w:pStyle w:val="FootnoteText"/>
        <w:rPr>
          <w:sz w:val="16"/>
          <w:szCs w:val="16"/>
        </w:rPr>
      </w:pPr>
      <w:r w:rsidRPr="00CE4BA1">
        <w:rPr>
          <w:rStyle w:val="FootnoteReference"/>
          <w:sz w:val="16"/>
          <w:szCs w:val="16"/>
        </w:rPr>
        <w:footnoteRef/>
      </w:r>
      <w:r w:rsidRPr="00CE4BA1">
        <w:rPr>
          <w:sz w:val="16"/>
          <w:szCs w:val="16"/>
        </w:rPr>
        <w:t xml:space="preserve"> Jernigan DH, </w:t>
      </w:r>
      <w:r w:rsidRPr="00CE4BA1">
        <w:rPr>
          <w:sz w:val="16"/>
          <w:szCs w:val="16"/>
        </w:rPr>
        <w:t xml:space="preserve">Ostroff J, Ross C. Alcohol Advertising and Youth: A Measured Approach. </w:t>
      </w:r>
      <w:r w:rsidRPr="00CE4BA1">
        <w:rPr>
          <w:i/>
          <w:iCs/>
          <w:sz w:val="16"/>
          <w:szCs w:val="16"/>
        </w:rPr>
        <w:t>J Public Health Policy</w:t>
      </w:r>
      <w:r w:rsidRPr="00CE4BA1">
        <w:rPr>
          <w:sz w:val="16"/>
          <w:szCs w:val="16"/>
        </w:rPr>
        <w:t xml:space="preserve">. 2005;26(3):312-325. </w:t>
      </w:r>
      <w:r w:rsidRPr="00CE4BA1">
        <w:rPr>
          <w:sz w:val="16"/>
          <w:szCs w:val="16"/>
        </w:rPr>
        <w:t>doi:10.1057/palgrave.jphp.3200038</w:t>
      </w:r>
    </w:p>
  </w:footnote>
  <w:footnote w:id="108">
    <w:p w14:paraId="0650A8EB" w14:textId="541A87E7" w:rsidR="00AE335F" w:rsidRPr="00CE4BA1" w:rsidRDefault="00AE335F">
      <w:pPr>
        <w:pStyle w:val="FootnoteText"/>
        <w:rPr>
          <w:sz w:val="16"/>
          <w:szCs w:val="16"/>
        </w:rPr>
      </w:pPr>
      <w:r w:rsidRPr="00CE4BA1">
        <w:rPr>
          <w:rStyle w:val="FootnoteReference"/>
          <w:sz w:val="16"/>
          <w:szCs w:val="16"/>
        </w:rPr>
        <w:footnoteRef/>
      </w:r>
      <w:r w:rsidRPr="00CE4BA1">
        <w:rPr>
          <w:sz w:val="16"/>
          <w:szCs w:val="16"/>
        </w:rPr>
        <w:t xml:space="preserve"> Fleming K, Thorson E, Atkin CK. Alcohol advertising exposure and perceptions: links with alcohol expectancies and intentions to drink or drinking in underaged youth and young adults. </w:t>
      </w:r>
      <w:r w:rsidRPr="00CE4BA1">
        <w:rPr>
          <w:i/>
          <w:iCs/>
          <w:sz w:val="16"/>
          <w:szCs w:val="16"/>
        </w:rPr>
        <w:t xml:space="preserve">J Health </w:t>
      </w:r>
      <w:r w:rsidRPr="00CE4BA1">
        <w:rPr>
          <w:i/>
          <w:iCs/>
          <w:sz w:val="16"/>
          <w:szCs w:val="16"/>
        </w:rPr>
        <w:t>Commun</w:t>
      </w:r>
      <w:r w:rsidRPr="00CE4BA1">
        <w:rPr>
          <w:sz w:val="16"/>
          <w:szCs w:val="16"/>
        </w:rPr>
        <w:t>. 2004;9(1):3-29. doi:10.1080/10810730490271665</w:t>
      </w:r>
    </w:p>
  </w:footnote>
  <w:footnote w:id="109">
    <w:p w14:paraId="340D764A" w14:textId="5D930868" w:rsidR="00AE335F" w:rsidRPr="00CE4BA1" w:rsidRDefault="00AE335F">
      <w:pPr>
        <w:pStyle w:val="FootnoteText"/>
        <w:rPr>
          <w:sz w:val="16"/>
          <w:szCs w:val="16"/>
        </w:rPr>
      </w:pPr>
      <w:r w:rsidRPr="00CE4BA1">
        <w:rPr>
          <w:rStyle w:val="FootnoteReference"/>
          <w:sz w:val="16"/>
          <w:szCs w:val="16"/>
        </w:rPr>
        <w:footnoteRef/>
      </w:r>
      <w:r w:rsidRPr="00CE4BA1">
        <w:rPr>
          <w:sz w:val="16"/>
          <w:szCs w:val="16"/>
        </w:rPr>
        <w:t xml:space="preserve"> National Research Council (US) and Institute of Medicine (US) Committee on Developing a Strategy to Reduce and Prevent Underage Drinking. </w:t>
      </w:r>
      <w:r w:rsidRPr="00CE4BA1">
        <w:rPr>
          <w:i/>
          <w:iCs/>
          <w:sz w:val="16"/>
          <w:szCs w:val="16"/>
        </w:rPr>
        <w:t>Reducing Underage Drinking: A Collective Responsibility</w:t>
      </w:r>
      <w:r w:rsidRPr="00CE4BA1">
        <w:rPr>
          <w:sz w:val="16"/>
          <w:szCs w:val="16"/>
        </w:rPr>
        <w:t>. (Bonnie RJ, O’Connell ME, eds.). National Academies Press (US); 2004. Accessed March 2, 2018. http://www.ncbi.nlm.nih.gov/books/NBK37589/</w:t>
      </w:r>
    </w:p>
  </w:footnote>
  <w:footnote w:id="110">
    <w:p w14:paraId="4A828470" w14:textId="02E30620" w:rsidR="00AE335F" w:rsidRPr="00CE4BA1" w:rsidRDefault="00AE335F">
      <w:pPr>
        <w:pStyle w:val="FootnoteText"/>
        <w:rPr>
          <w:sz w:val="16"/>
          <w:szCs w:val="16"/>
        </w:rPr>
      </w:pPr>
      <w:r w:rsidRPr="00CE4BA1">
        <w:rPr>
          <w:rStyle w:val="FootnoteReference"/>
          <w:sz w:val="16"/>
          <w:szCs w:val="16"/>
        </w:rPr>
        <w:footnoteRef/>
      </w:r>
      <w:r w:rsidRPr="00CE4BA1">
        <w:rPr>
          <w:sz w:val="16"/>
          <w:szCs w:val="16"/>
        </w:rPr>
        <w:t xml:space="preserve"> Jernigan et al. Ibid.</w:t>
      </w:r>
    </w:p>
  </w:footnote>
  <w:footnote w:id="111">
    <w:p w14:paraId="7BEC71E0" w14:textId="7C500903" w:rsidR="00AE335F" w:rsidRDefault="00AE335F">
      <w:pPr>
        <w:pStyle w:val="FootnoteText"/>
      </w:pPr>
      <w:r w:rsidRPr="00CE4BA1">
        <w:rPr>
          <w:rStyle w:val="FootnoteReference"/>
          <w:sz w:val="16"/>
          <w:szCs w:val="16"/>
        </w:rPr>
        <w:footnoteRef/>
      </w:r>
      <w:r w:rsidRPr="00CE4BA1">
        <w:rPr>
          <w:sz w:val="16"/>
          <w:szCs w:val="16"/>
        </w:rPr>
        <w:t xml:space="preserve"> Jernigan DH, Ross CS, </w:t>
      </w:r>
      <w:r w:rsidRPr="00CE4BA1">
        <w:rPr>
          <w:sz w:val="16"/>
          <w:szCs w:val="16"/>
        </w:rPr>
        <w:t xml:space="preserve">Ostroff J, McKnight-Eily LR, Brewer RD. Youth Exposure to Alcohol Advertising on Television — 25 Markets, United States, 2010. </w:t>
      </w:r>
      <w:r w:rsidRPr="00CE4BA1">
        <w:rPr>
          <w:i/>
          <w:iCs/>
          <w:sz w:val="16"/>
          <w:szCs w:val="16"/>
        </w:rPr>
        <w:t>MMWR Morb Mortal Wkly Rep</w:t>
      </w:r>
      <w:r w:rsidRPr="00CE4BA1">
        <w:rPr>
          <w:sz w:val="16"/>
          <w:szCs w:val="16"/>
        </w:rPr>
        <w:t>. 2013;62(44):877-880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A95C8" w14:textId="77777777" w:rsidR="00AE335F" w:rsidRDefault="00AE335F">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801F8"/>
    <w:multiLevelType w:val="hybridMultilevel"/>
    <w:tmpl w:val="851CFAF6"/>
    <w:lvl w:ilvl="0" w:tplc="0DCCBD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667D0"/>
    <w:multiLevelType w:val="hybridMultilevel"/>
    <w:tmpl w:val="6C92BE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346115"/>
    <w:multiLevelType w:val="hybridMultilevel"/>
    <w:tmpl w:val="7B284C9E"/>
    <w:lvl w:ilvl="0" w:tplc="56B6E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653CA"/>
    <w:multiLevelType w:val="hybridMultilevel"/>
    <w:tmpl w:val="F7A2C70C"/>
    <w:lvl w:ilvl="0" w:tplc="56B6E304">
      <w:start w:val="1"/>
      <w:numFmt w:val="decimal"/>
      <w:lvlText w:val="(%1)"/>
      <w:lvlJc w:val="left"/>
      <w:pPr>
        <w:ind w:left="720" w:hanging="360"/>
      </w:pPr>
      <w:rPr>
        <w:rFonts w:hint="default"/>
      </w:rPr>
    </w:lvl>
    <w:lvl w:ilvl="1" w:tplc="0DCCBDC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121A31"/>
    <w:multiLevelType w:val="hybridMultilevel"/>
    <w:tmpl w:val="B958FF86"/>
    <w:lvl w:ilvl="0" w:tplc="56B6E304">
      <w:start w:val="1"/>
      <w:numFmt w:val="decimal"/>
      <w:lvlText w:val="(%1)"/>
      <w:lvlJc w:val="left"/>
      <w:pPr>
        <w:ind w:left="360" w:hanging="360"/>
      </w:pPr>
      <w:rPr>
        <w:rFonts w:hint="default"/>
      </w:rPr>
    </w:lvl>
    <w:lvl w:ilvl="1" w:tplc="0DCCBDC2">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5D336F"/>
    <w:multiLevelType w:val="hybridMultilevel"/>
    <w:tmpl w:val="8C94B4A4"/>
    <w:lvl w:ilvl="0" w:tplc="56B6E304">
      <w:start w:val="1"/>
      <w:numFmt w:val="decimal"/>
      <w:lvlText w:val="(%1)"/>
      <w:lvlJc w:val="left"/>
      <w:pPr>
        <w:ind w:left="720" w:hanging="360"/>
      </w:pPr>
      <w:rPr>
        <w:rFonts w:hint="default"/>
      </w:rPr>
    </w:lvl>
    <w:lvl w:ilvl="1" w:tplc="0DCCBDC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9772C9"/>
    <w:multiLevelType w:val="hybridMultilevel"/>
    <w:tmpl w:val="CD6643B0"/>
    <w:lvl w:ilvl="0" w:tplc="56B6E3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B7644FA"/>
    <w:multiLevelType w:val="hybridMultilevel"/>
    <w:tmpl w:val="5DC4C108"/>
    <w:lvl w:ilvl="0" w:tplc="56B6E304">
      <w:start w:val="1"/>
      <w:numFmt w:val="decimal"/>
      <w:lvlText w:val="(%1)"/>
      <w:lvlJc w:val="left"/>
      <w:pPr>
        <w:ind w:left="720" w:hanging="360"/>
      </w:pPr>
      <w:rPr>
        <w:rFonts w:hint="default"/>
      </w:rPr>
    </w:lvl>
    <w:lvl w:ilvl="1" w:tplc="0DCCBDC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88760D"/>
    <w:multiLevelType w:val="hybridMultilevel"/>
    <w:tmpl w:val="B2C23686"/>
    <w:lvl w:ilvl="0" w:tplc="56B6E304">
      <w:start w:val="1"/>
      <w:numFmt w:val="decimal"/>
      <w:lvlText w:val="(%1)"/>
      <w:lvlJc w:val="left"/>
      <w:pPr>
        <w:ind w:left="720" w:hanging="360"/>
      </w:pPr>
      <w:rPr>
        <w:rFonts w:hint="default"/>
      </w:rPr>
    </w:lvl>
    <w:lvl w:ilvl="1" w:tplc="0DCCBDC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A7385F"/>
    <w:multiLevelType w:val="hybridMultilevel"/>
    <w:tmpl w:val="A42E0438"/>
    <w:lvl w:ilvl="0" w:tplc="56B6E304">
      <w:start w:val="1"/>
      <w:numFmt w:val="decimal"/>
      <w:lvlText w:val="(%1)"/>
      <w:lvlJc w:val="left"/>
      <w:pPr>
        <w:ind w:left="360" w:hanging="360"/>
      </w:pPr>
      <w:rPr>
        <w:rFonts w:hint="default"/>
      </w:rPr>
    </w:lvl>
    <w:lvl w:ilvl="1" w:tplc="0DCCBDC2">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A2035B3"/>
    <w:multiLevelType w:val="hybridMultilevel"/>
    <w:tmpl w:val="DBE45C32"/>
    <w:lvl w:ilvl="0" w:tplc="56B6E304">
      <w:start w:val="1"/>
      <w:numFmt w:val="decimal"/>
      <w:lvlText w:val="(%1)"/>
      <w:lvlJc w:val="left"/>
      <w:pPr>
        <w:ind w:left="720" w:hanging="360"/>
      </w:pPr>
      <w:rPr>
        <w:rFonts w:hint="default"/>
      </w:rPr>
    </w:lvl>
    <w:lvl w:ilvl="1" w:tplc="0DCCBDC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86532A"/>
    <w:multiLevelType w:val="hybridMultilevel"/>
    <w:tmpl w:val="733AE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5C0575"/>
    <w:multiLevelType w:val="hybridMultilevel"/>
    <w:tmpl w:val="733AE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E94163"/>
    <w:multiLevelType w:val="hybridMultilevel"/>
    <w:tmpl w:val="9B767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516CD4"/>
    <w:multiLevelType w:val="hybridMultilevel"/>
    <w:tmpl w:val="9B12960A"/>
    <w:lvl w:ilvl="0" w:tplc="56B6E3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409514C"/>
    <w:multiLevelType w:val="hybridMultilevel"/>
    <w:tmpl w:val="A21CA02C"/>
    <w:lvl w:ilvl="0" w:tplc="56B6E304">
      <w:start w:val="1"/>
      <w:numFmt w:val="decimal"/>
      <w:lvlText w:val="(%1)"/>
      <w:lvlJc w:val="left"/>
      <w:pPr>
        <w:ind w:left="2160" w:hanging="360"/>
      </w:pPr>
      <w:rPr>
        <w:rFonts w:hint="default"/>
      </w:rPr>
    </w:lvl>
    <w:lvl w:ilvl="1" w:tplc="0DCCBDC2">
      <w:start w:val="1"/>
      <w:numFmt w:val="lowerLetter"/>
      <w:lvlText w:val="(%2)"/>
      <w:lvlJc w:val="left"/>
      <w:pPr>
        <w:ind w:left="1440" w:hanging="360"/>
      </w:pPr>
      <w:rPr>
        <w:rFonts w:hint="default"/>
      </w:rPr>
    </w:lvl>
    <w:lvl w:ilvl="2" w:tplc="56B6E304">
      <w:start w:val="1"/>
      <w:numFmt w:val="decimal"/>
      <w:lvlText w:val="(%3)"/>
      <w:lvlJc w:val="lef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D82421"/>
    <w:multiLevelType w:val="hybridMultilevel"/>
    <w:tmpl w:val="733AE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C105E9"/>
    <w:multiLevelType w:val="hybridMultilevel"/>
    <w:tmpl w:val="6A36F522"/>
    <w:lvl w:ilvl="0" w:tplc="56B6E304">
      <w:start w:val="1"/>
      <w:numFmt w:val="decimal"/>
      <w:lvlText w:val="(%1)"/>
      <w:lvlJc w:val="left"/>
      <w:pPr>
        <w:ind w:left="720" w:hanging="360"/>
      </w:pPr>
      <w:rPr>
        <w:rFonts w:hint="default"/>
      </w:rPr>
    </w:lvl>
    <w:lvl w:ilvl="1" w:tplc="0DCCBDC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AC2476"/>
    <w:multiLevelType w:val="hybridMultilevel"/>
    <w:tmpl w:val="874A98A4"/>
    <w:lvl w:ilvl="0" w:tplc="56B6E304">
      <w:start w:val="1"/>
      <w:numFmt w:val="decimal"/>
      <w:lvlText w:val="(%1)"/>
      <w:lvlJc w:val="left"/>
      <w:pPr>
        <w:ind w:left="720" w:hanging="360"/>
      </w:pPr>
      <w:rPr>
        <w:rFonts w:hint="default"/>
      </w:rPr>
    </w:lvl>
    <w:lvl w:ilvl="1" w:tplc="0DCCBDC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94551E"/>
    <w:multiLevelType w:val="hybridMultilevel"/>
    <w:tmpl w:val="61546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B2151F"/>
    <w:multiLevelType w:val="hybridMultilevel"/>
    <w:tmpl w:val="4964FBA2"/>
    <w:lvl w:ilvl="0" w:tplc="56B6E304">
      <w:start w:val="1"/>
      <w:numFmt w:val="decimal"/>
      <w:lvlText w:val="(%1)"/>
      <w:lvlJc w:val="left"/>
      <w:pPr>
        <w:ind w:left="720" w:hanging="360"/>
      </w:pPr>
      <w:rPr>
        <w:rFonts w:hint="default"/>
      </w:rPr>
    </w:lvl>
    <w:lvl w:ilvl="1" w:tplc="0DCCBDC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21608B"/>
    <w:multiLevelType w:val="hybridMultilevel"/>
    <w:tmpl w:val="A99C5EDA"/>
    <w:lvl w:ilvl="0" w:tplc="56B6E304">
      <w:start w:val="1"/>
      <w:numFmt w:val="decimal"/>
      <w:lvlText w:val="(%1)"/>
      <w:lvlJc w:val="left"/>
      <w:pPr>
        <w:ind w:left="720" w:hanging="360"/>
      </w:pPr>
      <w:rPr>
        <w:rFonts w:hint="default"/>
      </w:rPr>
    </w:lvl>
    <w:lvl w:ilvl="1" w:tplc="0DCCBDC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F772B4"/>
    <w:multiLevelType w:val="hybridMultilevel"/>
    <w:tmpl w:val="733AE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A374DD"/>
    <w:multiLevelType w:val="hybridMultilevel"/>
    <w:tmpl w:val="3BB29BCC"/>
    <w:lvl w:ilvl="0" w:tplc="A282CFC8">
      <w:start w:val="2"/>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AD36E3"/>
    <w:multiLevelType w:val="hybridMultilevel"/>
    <w:tmpl w:val="030EA9D8"/>
    <w:lvl w:ilvl="0" w:tplc="56B6E304">
      <w:start w:val="1"/>
      <w:numFmt w:val="decimal"/>
      <w:lvlText w:val="(%1)"/>
      <w:lvlJc w:val="left"/>
      <w:pPr>
        <w:ind w:left="720" w:hanging="360"/>
      </w:pPr>
      <w:rPr>
        <w:rFonts w:hint="default"/>
      </w:rPr>
    </w:lvl>
    <w:lvl w:ilvl="1" w:tplc="0DCCBDC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D354EA"/>
    <w:multiLevelType w:val="hybridMultilevel"/>
    <w:tmpl w:val="6E4A76A6"/>
    <w:lvl w:ilvl="0" w:tplc="0DCCBDC2">
      <w:start w:val="1"/>
      <w:numFmt w:val="lowerLetter"/>
      <w:lvlText w:val="(%1)"/>
      <w:lvlJc w:val="left"/>
      <w:pPr>
        <w:ind w:left="1440" w:hanging="360"/>
      </w:pPr>
      <w:rPr>
        <w:rFonts w:hint="default"/>
      </w:rPr>
    </w:lvl>
    <w:lvl w:ilvl="1" w:tplc="56B6E304">
      <w:start w:val="1"/>
      <w:numFmt w:val="decimal"/>
      <w:lvlText w:val="(%2)"/>
      <w:lvlJc w:val="left"/>
      <w:pPr>
        <w:ind w:left="2160" w:hanging="360"/>
      </w:pPr>
      <w:rPr>
        <w:rFonts w:hint="default"/>
      </w:rPr>
    </w:lvl>
    <w:lvl w:ilvl="2" w:tplc="0DCCBDC2">
      <w:start w:val="1"/>
      <w:numFmt w:val="lowerLetter"/>
      <w:lvlText w:val="(%3)"/>
      <w:lvlJc w:val="left"/>
      <w:pPr>
        <w:ind w:left="2880" w:hanging="18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1B362E5"/>
    <w:multiLevelType w:val="hybridMultilevel"/>
    <w:tmpl w:val="A5D68B14"/>
    <w:lvl w:ilvl="0" w:tplc="56B6E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301AB3"/>
    <w:multiLevelType w:val="hybridMultilevel"/>
    <w:tmpl w:val="09EA8FF6"/>
    <w:lvl w:ilvl="0" w:tplc="0DCCBD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632BD9"/>
    <w:multiLevelType w:val="hybridMultilevel"/>
    <w:tmpl w:val="8F1214BC"/>
    <w:lvl w:ilvl="0" w:tplc="56B6E304">
      <w:start w:val="1"/>
      <w:numFmt w:val="decimal"/>
      <w:lvlText w:val="(%1)"/>
      <w:lvlJc w:val="left"/>
      <w:pPr>
        <w:ind w:left="360" w:hanging="360"/>
      </w:pPr>
      <w:rPr>
        <w:rFonts w:hint="default"/>
      </w:rPr>
    </w:lvl>
    <w:lvl w:ilvl="1" w:tplc="0DCCBDC2">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3F86A4E"/>
    <w:multiLevelType w:val="hybridMultilevel"/>
    <w:tmpl w:val="733AE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DC689F"/>
    <w:multiLevelType w:val="hybridMultilevel"/>
    <w:tmpl w:val="F4645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4D5886"/>
    <w:multiLevelType w:val="hybridMultilevel"/>
    <w:tmpl w:val="6F0822DC"/>
    <w:lvl w:ilvl="0" w:tplc="56B6E304">
      <w:start w:val="1"/>
      <w:numFmt w:val="decimal"/>
      <w:lvlText w:val="(%1)"/>
      <w:lvlJc w:val="left"/>
      <w:pPr>
        <w:ind w:left="720" w:hanging="360"/>
      </w:pPr>
      <w:rPr>
        <w:rFonts w:hint="default"/>
      </w:rPr>
    </w:lvl>
    <w:lvl w:ilvl="1" w:tplc="0DCCBDC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962249"/>
    <w:multiLevelType w:val="hybridMultilevel"/>
    <w:tmpl w:val="A29A7BF6"/>
    <w:lvl w:ilvl="0" w:tplc="56B6E304">
      <w:start w:val="1"/>
      <w:numFmt w:val="decimal"/>
      <w:lvlText w:val="(%1)"/>
      <w:lvlJc w:val="left"/>
      <w:pPr>
        <w:ind w:left="720" w:hanging="360"/>
      </w:pPr>
      <w:rPr>
        <w:rFonts w:hint="default"/>
      </w:rPr>
    </w:lvl>
    <w:lvl w:ilvl="1" w:tplc="0DCCBDC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0F69EF"/>
    <w:multiLevelType w:val="hybridMultilevel"/>
    <w:tmpl w:val="8960C4B8"/>
    <w:lvl w:ilvl="0" w:tplc="56B6E30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FD2D3C"/>
    <w:multiLevelType w:val="hybridMultilevel"/>
    <w:tmpl w:val="684E0BA6"/>
    <w:lvl w:ilvl="0" w:tplc="56B6E304">
      <w:start w:val="1"/>
      <w:numFmt w:val="decimal"/>
      <w:lvlText w:val="(%1)"/>
      <w:lvlJc w:val="left"/>
      <w:pPr>
        <w:ind w:left="720" w:hanging="360"/>
      </w:pPr>
      <w:rPr>
        <w:rFonts w:hint="default"/>
      </w:rPr>
    </w:lvl>
    <w:lvl w:ilvl="1" w:tplc="0DCCBDC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21171B"/>
    <w:multiLevelType w:val="hybridMultilevel"/>
    <w:tmpl w:val="5B1462F8"/>
    <w:lvl w:ilvl="0" w:tplc="0DCCBDC2">
      <w:start w:val="1"/>
      <w:numFmt w:val="lowerLetter"/>
      <w:lvlText w:val="(%1)"/>
      <w:lvlJc w:val="left"/>
      <w:pPr>
        <w:ind w:left="2160" w:hanging="360"/>
      </w:pPr>
      <w:rPr>
        <w:rFonts w:hint="default"/>
      </w:rPr>
    </w:lvl>
    <w:lvl w:ilvl="1" w:tplc="0DCCBDC2">
      <w:start w:val="1"/>
      <w:numFmt w:val="lowerLetter"/>
      <w:lvlText w:val="(%2)"/>
      <w:lvlJc w:val="left"/>
      <w:pPr>
        <w:ind w:left="1440" w:hanging="360"/>
      </w:pPr>
      <w:rPr>
        <w:rFonts w:hint="default"/>
      </w:rPr>
    </w:lvl>
    <w:lvl w:ilvl="2" w:tplc="56B6E304">
      <w:start w:val="1"/>
      <w:numFmt w:val="decimal"/>
      <w:lvlText w:val="(%3)"/>
      <w:lvlJc w:val="lef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0"/>
  </w:num>
  <w:num w:numId="3">
    <w:abstractNumId w:val="13"/>
  </w:num>
  <w:num w:numId="4">
    <w:abstractNumId w:val="28"/>
  </w:num>
  <w:num w:numId="5">
    <w:abstractNumId w:val="14"/>
  </w:num>
  <w:num w:numId="6">
    <w:abstractNumId w:val="6"/>
  </w:num>
  <w:num w:numId="7">
    <w:abstractNumId w:val="4"/>
  </w:num>
  <w:num w:numId="8">
    <w:abstractNumId w:val="9"/>
  </w:num>
  <w:num w:numId="9">
    <w:abstractNumId w:val="26"/>
  </w:num>
  <w:num w:numId="10">
    <w:abstractNumId w:val="33"/>
  </w:num>
  <w:num w:numId="11">
    <w:abstractNumId w:val="25"/>
  </w:num>
  <w:num w:numId="12">
    <w:abstractNumId w:val="15"/>
  </w:num>
  <w:num w:numId="13">
    <w:abstractNumId w:val="35"/>
  </w:num>
  <w:num w:numId="14">
    <w:abstractNumId w:val="23"/>
  </w:num>
  <w:num w:numId="15">
    <w:abstractNumId w:val="32"/>
  </w:num>
  <w:num w:numId="16">
    <w:abstractNumId w:val="31"/>
  </w:num>
  <w:num w:numId="17">
    <w:abstractNumId w:val="5"/>
  </w:num>
  <w:num w:numId="18">
    <w:abstractNumId w:val="24"/>
  </w:num>
  <w:num w:numId="19">
    <w:abstractNumId w:val="17"/>
  </w:num>
  <w:num w:numId="20">
    <w:abstractNumId w:val="8"/>
  </w:num>
  <w:num w:numId="21">
    <w:abstractNumId w:val="18"/>
  </w:num>
  <w:num w:numId="22">
    <w:abstractNumId w:val="34"/>
  </w:num>
  <w:num w:numId="23">
    <w:abstractNumId w:val="20"/>
  </w:num>
  <w:num w:numId="24">
    <w:abstractNumId w:val="3"/>
  </w:num>
  <w:num w:numId="25">
    <w:abstractNumId w:val="21"/>
  </w:num>
  <w:num w:numId="26">
    <w:abstractNumId w:val="10"/>
  </w:num>
  <w:num w:numId="27">
    <w:abstractNumId w:val="0"/>
  </w:num>
  <w:num w:numId="28">
    <w:abstractNumId w:val="2"/>
  </w:num>
  <w:num w:numId="29">
    <w:abstractNumId w:val="7"/>
  </w:num>
  <w:num w:numId="30">
    <w:abstractNumId w:val="1"/>
  </w:num>
  <w:num w:numId="31">
    <w:abstractNumId w:val="19"/>
  </w:num>
  <w:num w:numId="32">
    <w:abstractNumId w:val="22"/>
  </w:num>
  <w:num w:numId="33">
    <w:abstractNumId w:val="16"/>
  </w:num>
  <w:num w:numId="34">
    <w:abstractNumId w:val="11"/>
  </w:num>
  <w:num w:numId="35">
    <w:abstractNumId w:val="29"/>
  </w:num>
  <w:num w:numId="36">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DFA"/>
    <w:rsid w:val="0002516C"/>
    <w:rsid w:val="000376A6"/>
    <w:rsid w:val="000533DA"/>
    <w:rsid w:val="00064063"/>
    <w:rsid w:val="00075D47"/>
    <w:rsid w:val="000977A7"/>
    <w:rsid w:val="000A14BF"/>
    <w:rsid w:val="000A2E42"/>
    <w:rsid w:val="000A56F9"/>
    <w:rsid w:val="000A644E"/>
    <w:rsid w:val="000B0D57"/>
    <w:rsid w:val="000E6B96"/>
    <w:rsid w:val="000E7999"/>
    <w:rsid w:val="000F0E94"/>
    <w:rsid w:val="000F5B2C"/>
    <w:rsid w:val="001115C5"/>
    <w:rsid w:val="00123D19"/>
    <w:rsid w:val="0012666E"/>
    <w:rsid w:val="001457AC"/>
    <w:rsid w:val="001466E8"/>
    <w:rsid w:val="00185EF3"/>
    <w:rsid w:val="00195A21"/>
    <w:rsid w:val="001B089D"/>
    <w:rsid w:val="001B1A41"/>
    <w:rsid w:val="001E6699"/>
    <w:rsid w:val="001E6774"/>
    <w:rsid w:val="001E6AB4"/>
    <w:rsid w:val="00203AE0"/>
    <w:rsid w:val="002269F8"/>
    <w:rsid w:val="0024555B"/>
    <w:rsid w:val="00250BDA"/>
    <w:rsid w:val="002518D0"/>
    <w:rsid w:val="002530A9"/>
    <w:rsid w:val="002530E8"/>
    <w:rsid w:val="00257046"/>
    <w:rsid w:val="00274559"/>
    <w:rsid w:val="002756B1"/>
    <w:rsid w:val="00276FA9"/>
    <w:rsid w:val="002A337F"/>
    <w:rsid w:val="002C6597"/>
    <w:rsid w:val="002D0D67"/>
    <w:rsid w:val="002F25A1"/>
    <w:rsid w:val="0030006D"/>
    <w:rsid w:val="00312BD2"/>
    <w:rsid w:val="0033106D"/>
    <w:rsid w:val="0034546E"/>
    <w:rsid w:val="00351400"/>
    <w:rsid w:val="0035266B"/>
    <w:rsid w:val="003644A3"/>
    <w:rsid w:val="0039168A"/>
    <w:rsid w:val="003B7FA0"/>
    <w:rsid w:val="003C7380"/>
    <w:rsid w:val="003D7F72"/>
    <w:rsid w:val="003E7DDE"/>
    <w:rsid w:val="003F5579"/>
    <w:rsid w:val="00407C7C"/>
    <w:rsid w:val="00413A95"/>
    <w:rsid w:val="004401B9"/>
    <w:rsid w:val="00460493"/>
    <w:rsid w:val="00491778"/>
    <w:rsid w:val="004A0F9E"/>
    <w:rsid w:val="004A1690"/>
    <w:rsid w:val="004A7F31"/>
    <w:rsid w:val="004B7808"/>
    <w:rsid w:val="004C48FF"/>
    <w:rsid w:val="004D3C78"/>
    <w:rsid w:val="004D5B04"/>
    <w:rsid w:val="004D728C"/>
    <w:rsid w:val="004F3B27"/>
    <w:rsid w:val="00500DAC"/>
    <w:rsid w:val="0050239B"/>
    <w:rsid w:val="00510126"/>
    <w:rsid w:val="005236D9"/>
    <w:rsid w:val="00531F80"/>
    <w:rsid w:val="00542351"/>
    <w:rsid w:val="00560B23"/>
    <w:rsid w:val="00576578"/>
    <w:rsid w:val="00593ACF"/>
    <w:rsid w:val="005A40E9"/>
    <w:rsid w:val="005A5512"/>
    <w:rsid w:val="005A639C"/>
    <w:rsid w:val="005B3A68"/>
    <w:rsid w:val="005C2C08"/>
    <w:rsid w:val="005C3399"/>
    <w:rsid w:val="005F597F"/>
    <w:rsid w:val="006106C3"/>
    <w:rsid w:val="006123E7"/>
    <w:rsid w:val="006124C9"/>
    <w:rsid w:val="006157E2"/>
    <w:rsid w:val="00615B95"/>
    <w:rsid w:val="00634472"/>
    <w:rsid w:val="00660299"/>
    <w:rsid w:val="00666C21"/>
    <w:rsid w:val="0067184A"/>
    <w:rsid w:val="006718C2"/>
    <w:rsid w:val="00687672"/>
    <w:rsid w:val="006D409E"/>
    <w:rsid w:val="006E4F62"/>
    <w:rsid w:val="0070520E"/>
    <w:rsid w:val="007059B2"/>
    <w:rsid w:val="007070F8"/>
    <w:rsid w:val="0070764D"/>
    <w:rsid w:val="00722660"/>
    <w:rsid w:val="00731403"/>
    <w:rsid w:val="00735C55"/>
    <w:rsid w:val="0074365C"/>
    <w:rsid w:val="00764664"/>
    <w:rsid w:val="00766F62"/>
    <w:rsid w:val="007765EB"/>
    <w:rsid w:val="00780166"/>
    <w:rsid w:val="007C0C82"/>
    <w:rsid w:val="007C209B"/>
    <w:rsid w:val="007D0948"/>
    <w:rsid w:val="007E2800"/>
    <w:rsid w:val="007E427C"/>
    <w:rsid w:val="008005B8"/>
    <w:rsid w:val="0083337B"/>
    <w:rsid w:val="008334AD"/>
    <w:rsid w:val="00852C76"/>
    <w:rsid w:val="00864E02"/>
    <w:rsid w:val="00890A97"/>
    <w:rsid w:val="008922ED"/>
    <w:rsid w:val="00892E23"/>
    <w:rsid w:val="00895773"/>
    <w:rsid w:val="00897162"/>
    <w:rsid w:val="008B35D9"/>
    <w:rsid w:val="008C6B19"/>
    <w:rsid w:val="008D6E55"/>
    <w:rsid w:val="008D7706"/>
    <w:rsid w:val="008E0154"/>
    <w:rsid w:val="008E5DFA"/>
    <w:rsid w:val="00905415"/>
    <w:rsid w:val="009350F2"/>
    <w:rsid w:val="00940ABD"/>
    <w:rsid w:val="00946988"/>
    <w:rsid w:val="00955725"/>
    <w:rsid w:val="0096308B"/>
    <w:rsid w:val="009739AB"/>
    <w:rsid w:val="009824B6"/>
    <w:rsid w:val="0098562E"/>
    <w:rsid w:val="00986637"/>
    <w:rsid w:val="009A038A"/>
    <w:rsid w:val="009A1DC6"/>
    <w:rsid w:val="009A6861"/>
    <w:rsid w:val="009B3474"/>
    <w:rsid w:val="009B433C"/>
    <w:rsid w:val="009B6E6B"/>
    <w:rsid w:val="009D0912"/>
    <w:rsid w:val="009E649E"/>
    <w:rsid w:val="00A036B3"/>
    <w:rsid w:val="00A05AC1"/>
    <w:rsid w:val="00A062D7"/>
    <w:rsid w:val="00A34642"/>
    <w:rsid w:val="00A352BF"/>
    <w:rsid w:val="00A471D7"/>
    <w:rsid w:val="00A61E68"/>
    <w:rsid w:val="00A65788"/>
    <w:rsid w:val="00A754B3"/>
    <w:rsid w:val="00A840FF"/>
    <w:rsid w:val="00A909B2"/>
    <w:rsid w:val="00AA375A"/>
    <w:rsid w:val="00AD27DF"/>
    <w:rsid w:val="00AE335F"/>
    <w:rsid w:val="00B03664"/>
    <w:rsid w:val="00B04754"/>
    <w:rsid w:val="00B35D39"/>
    <w:rsid w:val="00B4349C"/>
    <w:rsid w:val="00B46E56"/>
    <w:rsid w:val="00B82B1C"/>
    <w:rsid w:val="00B855A3"/>
    <w:rsid w:val="00B96BCE"/>
    <w:rsid w:val="00BA5361"/>
    <w:rsid w:val="00BC0EC1"/>
    <w:rsid w:val="00BC1DDE"/>
    <w:rsid w:val="00BC258C"/>
    <w:rsid w:val="00BD4ACA"/>
    <w:rsid w:val="00BF18A0"/>
    <w:rsid w:val="00BF7C98"/>
    <w:rsid w:val="00C056D3"/>
    <w:rsid w:val="00C14DD9"/>
    <w:rsid w:val="00C21A64"/>
    <w:rsid w:val="00C24EEB"/>
    <w:rsid w:val="00C41C82"/>
    <w:rsid w:val="00C61656"/>
    <w:rsid w:val="00C65C77"/>
    <w:rsid w:val="00C83167"/>
    <w:rsid w:val="00C901C7"/>
    <w:rsid w:val="00C91C45"/>
    <w:rsid w:val="00C95C7F"/>
    <w:rsid w:val="00CA1C5A"/>
    <w:rsid w:val="00CA2CA6"/>
    <w:rsid w:val="00CA3E92"/>
    <w:rsid w:val="00CA79A7"/>
    <w:rsid w:val="00CB659F"/>
    <w:rsid w:val="00CC1871"/>
    <w:rsid w:val="00CD70F8"/>
    <w:rsid w:val="00CD7D11"/>
    <w:rsid w:val="00CE4926"/>
    <w:rsid w:val="00CE4BA1"/>
    <w:rsid w:val="00D05873"/>
    <w:rsid w:val="00D075C0"/>
    <w:rsid w:val="00D1108A"/>
    <w:rsid w:val="00D377A4"/>
    <w:rsid w:val="00DB0F2D"/>
    <w:rsid w:val="00E030BA"/>
    <w:rsid w:val="00E04A35"/>
    <w:rsid w:val="00E207AD"/>
    <w:rsid w:val="00E31849"/>
    <w:rsid w:val="00E7113A"/>
    <w:rsid w:val="00E86093"/>
    <w:rsid w:val="00EA567C"/>
    <w:rsid w:val="00EB22B8"/>
    <w:rsid w:val="00EB5672"/>
    <w:rsid w:val="00ED0675"/>
    <w:rsid w:val="00ED4D53"/>
    <w:rsid w:val="00EE1BF1"/>
    <w:rsid w:val="00EF3550"/>
    <w:rsid w:val="00EF599D"/>
    <w:rsid w:val="00F07D1F"/>
    <w:rsid w:val="00F14A92"/>
    <w:rsid w:val="00F242EF"/>
    <w:rsid w:val="00F247F7"/>
    <w:rsid w:val="00F45DE1"/>
    <w:rsid w:val="00F57949"/>
    <w:rsid w:val="00F60A30"/>
    <w:rsid w:val="00F60DE7"/>
    <w:rsid w:val="00F6427E"/>
    <w:rsid w:val="00F659CB"/>
    <w:rsid w:val="00F76977"/>
    <w:rsid w:val="00F831D7"/>
    <w:rsid w:val="00F945AE"/>
    <w:rsid w:val="00F9700E"/>
    <w:rsid w:val="00FC5586"/>
    <w:rsid w:val="00FD157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7D9F37"/>
  <w15:docId w15:val="{966F7A10-9F13-4323-9C07-70355634F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E02"/>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0520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ko-KR"/>
    </w:rPr>
  </w:style>
  <w:style w:type="paragraph" w:styleId="Heading2">
    <w:name w:val="heading 2"/>
    <w:basedOn w:val="Normal"/>
    <w:next w:val="Normal"/>
    <w:link w:val="Heading2Char"/>
    <w:uiPriority w:val="9"/>
    <w:unhideWhenUsed/>
    <w:qFormat/>
    <w:rsid w:val="00A61E68"/>
    <w:pPr>
      <w:keepNext/>
      <w:keepLines/>
      <w:spacing w:before="40" w:line="276" w:lineRule="auto"/>
      <w:outlineLvl w:val="1"/>
    </w:pPr>
    <w:rPr>
      <w:rFonts w:asciiTheme="majorHAnsi" w:eastAsiaTheme="majorEastAsia" w:hAnsiTheme="majorHAnsi" w:cstheme="majorBidi"/>
      <w:color w:val="365F91" w:themeColor="accent1" w:themeShade="BF"/>
      <w:sz w:val="26"/>
      <w:szCs w:val="26"/>
      <w:lang w:eastAsia="ko-KR"/>
    </w:rPr>
  </w:style>
  <w:style w:type="paragraph" w:styleId="Heading3">
    <w:name w:val="heading 3"/>
    <w:basedOn w:val="Normal"/>
    <w:next w:val="Normal"/>
    <w:link w:val="Heading3Char"/>
    <w:uiPriority w:val="9"/>
    <w:unhideWhenUsed/>
    <w:qFormat/>
    <w:rsid w:val="004B7808"/>
    <w:pPr>
      <w:keepNext/>
      <w:keepLines/>
      <w:spacing w:before="40" w:line="276" w:lineRule="auto"/>
      <w:outlineLvl w:val="2"/>
    </w:pPr>
    <w:rPr>
      <w:rFonts w:asciiTheme="majorHAnsi" w:eastAsiaTheme="majorEastAsia" w:hAnsiTheme="majorHAnsi" w:cstheme="majorBidi"/>
      <w:color w:val="243F60" w:themeColor="accent1" w:themeShade="7F"/>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FA"/>
    <w:pPr>
      <w:tabs>
        <w:tab w:val="center" w:pos="4680"/>
        <w:tab w:val="right" w:pos="9360"/>
      </w:tabs>
    </w:pPr>
    <w:rPr>
      <w:rFonts w:asciiTheme="minorHAnsi" w:eastAsiaTheme="minorEastAsia" w:hAnsiTheme="minorHAnsi" w:cstheme="minorBidi"/>
      <w:sz w:val="22"/>
      <w:szCs w:val="22"/>
      <w:lang w:eastAsia="ko-KR"/>
    </w:rPr>
  </w:style>
  <w:style w:type="character" w:customStyle="1" w:styleId="HeaderChar">
    <w:name w:val="Header Char"/>
    <w:basedOn w:val="DefaultParagraphFont"/>
    <w:link w:val="Header"/>
    <w:uiPriority w:val="99"/>
    <w:rsid w:val="008E5DFA"/>
  </w:style>
  <w:style w:type="paragraph" w:styleId="Footer">
    <w:name w:val="footer"/>
    <w:basedOn w:val="Normal"/>
    <w:link w:val="FooterChar"/>
    <w:uiPriority w:val="99"/>
    <w:unhideWhenUsed/>
    <w:rsid w:val="008E5DFA"/>
    <w:pPr>
      <w:tabs>
        <w:tab w:val="center" w:pos="4680"/>
        <w:tab w:val="right" w:pos="9360"/>
      </w:tabs>
    </w:pPr>
    <w:rPr>
      <w:rFonts w:asciiTheme="minorHAnsi" w:eastAsiaTheme="minorEastAsia" w:hAnsiTheme="minorHAnsi" w:cstheme="minorBidi"/>
      <w:sz w:val="22"/>
      <w:szCs w:val="22"/>
      <w:lang w:eastAsia="ko-KR"/>
    </w:rPr>
  </w:style>
  <w:style w:type="character" w:customStyle="1" w:styleId="FooterChar">
    <w:name w:val="Footer Char"/>
    <w:basedOn w:val="DefaultParagraphFont"/>
    <w:link w:val="Footer"/>
    <w:uiPriority w:val="99"/>
    <w:rsid w:val="008E5DFA"/>
  </w:style>
  <w:style w:type="paragraph" w:styleId="BalloonText">
    <w:name w:val="Balloon Text"/>
    <w:basedOn w:val="Normal"/>
    <w:link w:val="BalloonTextChar"/>
    <w:uiPriority w:val="99"/>
    <w:semiHidden/>
    <w:unhideWhenUsed/>
    <w:rsid w:val="004C48FF"/>
    <w:rPr>
      <w:rFonts w:ascii="Tahoma" w:eastAsiaTheme="minorEastAsia" w:hAnsi="Tahoma" w:cs="Tahoma"/>
      <w:sz w:val="16"/>
      <w:szCs w:val="16"/>
      <w:lang w:eastAsia="ko-KR"/>
    </w:rPr>
  </w:style>
  <w:style w:type="character" w:customStyle="1" w:styleId="BalloonTextChar">
    <w:name w:val="Balloon Text Char"/>
    <w:basedOn w:val="DefaultParagraphFont"/>
    <w:link w:val="BalloonText"/>
    <w:uiPriority w:val="99"/>
    <w:semiHidden/>
    <w:rsid w:val="004C48FF"/>
    <w:rPr>
      <w:rFonts w:ascii="Tahoma" w:hAnsi="Tahoma" w:cs="Tahoma"/>
      <w:sz w:val="16"/>
      <w:szCs w:val="16"/>
    </w:rPr>
  </w:style>
  <w:style w:type="character" w:customStyle="1" w:styleId="Heading1Char">
    <w:name w:val="Heading 1 Char"/>
    <w:basedOn w:val="DefaultParagraphFont"/>
    <w:link w:val="Heading1"/>
    <w:uiPriority w:val="9"/>
    <w:rsid w:val="0070520E"/>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0A644E"/>
    <w:rPr>
      <w:rFonts w:asciiTheme="minorHAnsi" w:eastAsiaTheme="minorEastAsia" w:hAnsiTheme="minorHAnsi" w:cstheme="minorBidi"/>
      <w:sz w:val="20"/>
      <w:szCs w:val="20"/>
      <w:lang w:eastAsia="ko-KR"/>
    </w:rPr>
  </w:style>
  <w:style w:type="character" w:customStyle="1" w:styleId="FootnoteTextChar">
    <w:name w:val="Footnote Text Char"/>
    <w:basedOn w:val="DefaultParagraphFont"/>
    <w:link w:val="FootnoteText"/>
    <w:uiPriority w:val="99"/>
    <w:semiHidden/>
    <w:rsid w:val="000A644E"/>
    <w:rPr>
      <w:sz w:val="20"/>
      <w:szCs w:val="20"/>
    </w:rPr>
  </w:style>
  <w:style w:type="character" w:styleId="FootnoteReference">
    <w:name w:val="footnote reference"/>
    <w:basedOn w:val="DefaultParagraphFont"/>
    <w:uiPriority w:val="99"/>
    <w:semiHidden/>
    <w:unhideWhenUsed/>
    <w:rsid w:val="000A644E"/>
    <w:rPr>
      <w:vertAlign w:val="superscript"/>
    </w:rPr>
  </w:style>
  <w:style w:type="character" w:styleId="Hyperlink">
    <w:name w:val="Hyperlink"/>
    <w:basedOn w:val="DefaultParagraphFont"/>
    <w:uiPriority w:val="99"/>
    <w:unhideWhenUsed/>
    <w:rsid w:val="000A644E"/>
    <w:rPr>
      <w:color w:val="0000FF" w:themeColor="hyperlink"/>
      <w:u w:val="single"/>
    </w:rPr>
  </w:style>
  <w:style w:type="character" w:styleId="CommentReference">
    <w:name w:val="annotation reference"/>
    <w:basedOn w:val="DefaultParagraphFont"/>
    <w:uiPriority w:val="99"/>
    <w:semiHidden/>
    <w:unhideWhenUsed/>
    <w:rsid w:val="00A036B3"/>
    <w:rPr>
      <w:sz w:val="16"/>
      <w:szCs w:val="16"/>
    </w:rPr>
  </w:style>
  <w:style w:type="paragraph" w:styleId="CommentText">
    <w:name w:val="annotation text"/>
    <w:basedOn w:val="Normal"/>
    <w:link w:val="CommentTextChar"/>
    <w:uiPriority w:val="99"/>
    <w:semiHidden/>
    <w:unhideWhenUsed/>
    <w:rsid w:val="00A036B3"/>
    <w:pPr>
      <w:spacing w:after="200"/>
    </w:pPr>
    <w:rPr>
      <w:rFonts w:asciiTheme="minorHAnsi" w:eastAsiaTheme="minorEastAsia" w:hAnsiTheme="minorHAnsi" w:cstheme="minorBidi"/>
      <w:sz w:val="20"/>
      <w:szCs w:val="20"/>
      <w:lang w:eastAsia="ko-KR"/>
    </w:rPr>
  </w:style>
  <w:style w:type="character" w:customStyle="1" w:styleId="CommentTextChar">
    <w:name w:val="Comment Text Char"/>
    <w:basedOn w:val="DefaultParagraphFont"/>
    <w:link w:val="CommentText"/>
    <w:uiPriority w:val="99"/>
    <w:semiHidden/>
    <w:rsid w:val="00A036B3"/>
    <w:rPr>
      <w:sz w:val="20"/>
      <w:szCs w:val="20"/>
    </w:rPr>
  </w:style>
  <w:style w:type="paragraph" w:styleId="CommentSubject">
    <w:name w:val="annotation subject"/>
    <w:basedOn w:val="CommentText"/>
    <w:next w:val="CommentText"/>
    <w:link w:val="CommentSubjectChar"/>
    <w:uiPriority w:val="99"/>
    <w:semiHidden/>
    <w:unhideWhenUsed/>
    <w:rsid w:val="00A036B3"/>
    <w:rPr>
      <w:b/>
      <w:bCs/>
    </w:rPr>
  </w:style>
  <w:style w:type="character" w:customStyle="1" w:styleId="CommentSubjectChar">
    <w:name w:val="Comment Subject Char"/>
    <w:basedOn w:val="CommentTextChar"/>
    <w:link w:val="CommentSubject"/>
    <w:uiPriority w:val="99"/>
    <w:semiHidden/>
    <w:rsid w:val="00A036B3"/>
    <w:rPr>
      <w:b/>
      <w:bCs/>
      <w:sz w:val="20"/>
      <w:szCs w:val="20"/>
    </w:rPr>
  </w:style>
  <w:style w:type="character" w:styleId="UnresolvedMention">
    <w:name w:val="Unresolved Mention"/>
    <w:basedOn w:val="DefaultParagraphFont"/>
    <w:uiPriority w:val="99"/>
    <w:semiHidden/>
    <w:unhideWhenUsed/>
    <w:rsid w:val="00A036B3"/>
    <w:rPr>
      <w:color w:val="605E5C"/>
      <w:shd w:val="clear" w:color="auto" w:fill="E1DFDD"/>
    </w:rPr>
  </w:style>
  <w:style w:type="character" w:customStyle="1" w:styleId="Heading2Char">
    <w:name w:val="Heading 2 Char"/>
    <w:basedOn w:val="DefaultParagraphFont"/>
    <w:link w:val="Heading2"/>
    <w:uiPriority w:val="9"/>
    <w:rsid w:val="00A61E68"/>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A840FF"/>
    <w:rPr>
      <w:color w:val="800080" w:themeColor="followedHyperlink"/>
      <w:u w:val="single"/>
    </w:rPr>
  </w:style>
  <w:style w:type="table" w:styleId="TableGrid">
    <w:name w:val="Table Grid"/>
    <w:basedOn w:val="TableNormal"/>
    <w:uiPriority w:val="39"/>
    <w:rsid w:val="0074365C"/>
    <w:pPr>
      <w:spacing w:after="0" w:line="240" w:lineRule="auto"/>
    </w:pPr>
    <w:rPr>
      <w:rFonts w:ascii="Times New Roman" w:eastAsia="Times New Roman"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56D3"/>
    <w:pPr>
      <w:spacing w:after="200" w:line="276" w:lineRule="auto"/>
      <w:ind w:left="720"/>
      <w:contextualSpacing/>
    </w:pPr>
    <w:rPr>
      <w:rFonts w:asciiTheme="minorHAnsi" w:eastAsiaTheme="minorEastAsia" w:hAnsiTheme="minorHAnsi" w:cstheme="minorBidi"/>
      <w:sz w:val="22"/>
      <w:szCs w:val="22"/>
      <w:lang w:eastAsia="ko-KR"/>
    </w:rPr>
  </w:style>
  <w:style w:type="paragraph" w:styleId="Revision">
    <w:name w:val="Revision"/>
    <w:hidden/>
    <w:uiPriority w:val="99"/>
    <w:semiHidden/>
    <w:rsid w:val="00780166"/>
    <w:pPr>
      <w:spacing w:after="0" w:line="240" w:lineRule="auto"/>
    </w:pPr>
  </w:style>
  <w:style w:type="character" w:customStyle="1" w:styleId="Heading3Char">
    <w:name w:val="Heading 3 Char"/>
    <w:basedOn w:val="DefaultParagraphFont"/>
    <w:link w:val="Heading3"/>
    <w:uiPriority w:val="9"/>
    <w:rsid w:val="004B7808"/>
    <w:rPr>
      <w:rFonts w:asciiTheme="majorHAnsi" w:eastAsiaTheme="majorEastAsia" w:hAnsiTheme="majorHAnsi" w:cstheme="majorBidi"/>
      <w:color w:val="243F60" w:themeColor="accent1" w:themeShade="7F"/>
      <w:sz w:val="24"/>
      <w:szCs w:val="24"/>
    </w:rPr>
  </w:style>
  <w:style w:type="paragraph" w:styleId="Bibliography">
    <w:name w:val="Bibliography"/>
    <w:basedOn w:val="Normal"/>
    <w:next w:val="Normal"/>
    <w:uiPriority w:val="37"/>
    <w:unhideWhenUsed/>
    <w:rsid w:val="00BA5361"/>
  </w:style>
  <w:style w:type="paragraph" w:styleId="TOCHeading">
    <w:name w:val="TOC Heading"/>
    <w:basedOn w:val="Heading1"/>
    <w:next w:val="Normal"/>
    <w:uiPriority w:val="39"/>
    <w:unhideWhenUsed/>
    <w:qFormat/>
    <w:rsid w:val="008D7706"/>
    <w:pPr>
      <w:spacing w:before="240" w:line="259" w:lineRule="auto"/>
      <w:outlineLvl w:val="9"/>
    </w:pPr>
    <w:rPr>
      <w:b w:val="0"/>
      <w:bCs w:val="0"/>
      <w:sz w:val="32"/>
      <w:szCs w:val="32"/>
      <w:lang w:eastAsia="en-US"/>
    </w:rPr>
  </w:style>
  <w:style w:type="paragraph" w:styleId="TOC1">
    <w:name w:val="toc 1"/>
    <w:basedOn w:val="Normal"/>
    <w:next w:val="Normal"/>
    <w:autoRedefine/>
    <w:uiPriority w:val="39"/>
    <w:unhideWhenUsed/>
    <w:rsid w:val="00C41C82"/>
    <w:pPr>
      <w:tabs>
        <w:tab w:val="right" w:leader="dot" w:pos="10070"/>
      </w:tabs>
      <w:spacing w:before="120" w:after="100" w:line="276" w:lineRule="auto"/>
    </w:pPr>
    <w:rPr>
      <w:rFonts w:asciiTheme="minorHAnsi" w:eastAsiaTheme="minorEastAsia" w:hAnsiTheme="minorHAnsi" w:cstheme="minorBidi"/>
      <w:b/>
      <w:bCs/>
      <w:noProof/>
      <w:sz w:val="22"/>
      <w:szCs w:val="22"/>
      <w:lang w:eastAsia="ko-KR"/>
    </w:rPr>
  </w:style>
  <w:style w:type="paragraph" w:styleId="TOC2">
    <w:name w:val="toc 2"/>
    <w:basedOn w:val="Normal"/>
    <w:next w:val="Normal"/>
    <w:autoRedefine/>
    <w:uiPriority w:val="39"/>
    <w:unhideWhenUsed/>
    <w:rsid w:val="001457AC"/>
    <w:pPr>
      <w:tabs>
        <w:tab w:val="right" w:leader="dot" w:pos="10070"/>
      </w:tabs>
      <w:spacing w:after="100" w:line="276" w:lineRule="auto"/>
      <w:ind w:left="220"/>
    </w:pPr>
    <w:rPr>
      <w:rFonts w:asciiTheme="minorHAnsi" w:eastAsiaTheme="minorEastAsia" w:hAnsiTheme="minorHAnsi" w:cstheme="minorBidi"/>
      <w:noProof/>
      <w:sz w:val="22"/>
      <w:szCs w:val="22"/>
      <w:lang w:eastAsia="ko-KR"/>
    </w:rPr>
  </w:style>
  <w:style w:type="paragraph" w:styleId="TOC3">
    <w:name w:val="toc 3"/>
    <w:basedOn w:val="Normal"/>
    <w:next w:val="Normal"/>
    <w:autoRedefine/>
    <w:uiPriority w:val="39"/>
    <w:unhideWhenUsed/>
    <w:rsid w:val="00B46E56"/>
    <w:pPr>
      <w:tabs>
        <w:tab w:val="right" w:leader="dot" w:pos="10070"/>
      </w:tabs>
      <w:spacing w:after="100" w:line="276" w:lineRule="auto"/>
      <w:ind w:left="440"/>
    </w:pPr>
    <w:rPr>
      <w:rFonts w:asciiTheme="minorHAnsi" w:eastAsiaTheme="minorEastAsia" w:hAnsiTheme="minorHAnsi" w:cstheme="minorBidi"/>
      <w:sz w:val="22"/>
      <w:szCs w:val="22"/>
      <w:lang w:eastAsia="ko-KR"/>
    </w:rPr>
  </w:style>
  <w:style w:type="paragraph" w:styleId="NoSpacing">
    <w:name w:val="No Spacing"/>
    <w:uiPriority w:val="1"/>
    <w:qFormat/>
    <w:rsid w:val="00735C55"/>
    <w:pPr>
      <w:spacing w:after="0" w:line="240" w:lineRule="auto"/>
    </w:pPr>
    <w:rPr>
      <w:rFonts w:eastAsiaTheme="minorHAnsi"/>
      <w:color w:val="1F497D" w:themeColor="text2"/>
      <w:sz w:val="20"/>
      <w:szCs w:val="20"/>
      <w:lang w:eastAsia="en-US"/>
    </w:rPr>
  </w:style>
  <w:style w:type="paragraph" w:styleId="BodyText">
    <w:name w:val="Body Text"/>
    <w:basedOn w:val="Normal"/>
    <w:link w:val="BodyTextChar"/>
    <w:uiPriority w:val="99"/>
    <w:semiHidden/>
    <w:unhideWhenUsed/>
    <w:rsid w:val="0096308B"/>
    <w:pPr>
      <w:spacing w:after="120" w:line="276" w:lineRule="auto"/>
    </w:pPr>
    <w:rPr>
      <w:rFonts w:asciiTheme="minorHAnsi" w:eastAsiaTheme="minorEastAsia" w:hAnsiTheme="minorHAnsi" w:cstheme="minorBidi"/>
      <w:sz w:val="22"/>
      <w:szCs w:val="22"/>
      <w:lang w:eastAsia="ko-KR"/>
    </w:rPr>
  </w:style>
  <w:style w:type="character" w:customStyle="1" w:styleId="BodyTextChar">
    <w:name w:val="Body Text Char"/>
    <w:basedOn w:val="DefaultParagraphFont"/>
    <w:link w:val="BodyText"/>
    <w:uiPriority w:val="99"/>
    <w:semiHidden/>
    <w:rsid w:val="0096308B"/>
  </w:style>
  <w:style w:type="character" w:styleId="PageNumber">
    <w:name w:val="page number"/>
    <w:basedOn w:val="DefaultParagraphFont"/>
    <w:uiPriority w:val="99"/>
    <w:semiHidden/>
    <w:unhideWhenUsed/>
    <w:rsid w:val="001466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733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gettingitrightfromthestart.org" TargetMode="External"/><Relationship Id="rId18" Type="http://schemas.openxmlformats.org/officeDocument/2006/relationships/hyperlink" Target="https://www.kidsdata.org/?site=full" TargetMode="External"/><Relationship Id="rId3" Type="http://schemas.openxmlformats.org/officeDocument/2006/relationships/styles" Target="styles.xml"/><Relationship Id="rId21" Type="http://schemas.openxmlformats.org/officeDocument/2006/relationships/hyperlink" Target="https://www.govinfo.gov/content/pkg/FR-2018-03-21/pdf/2018-05655.pdf"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venturacountylimits.org/resource_documents/VC_BestPractAlcSales_Jan2014fn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gettingitrightfromthestart.org/wp-content/uploads/2021/02/Important-Health-Warnings-About-Cannabis_Ten-Tips-for-Safer-Cannabis-Use-if-you-Choose-to-Use_2.23.21.pdf" TargetMode="External"/><Relationship Id="rId10" Type="http://schemas.openxmlformats.org/officeDocument/2006/relationships/image" Target="media/image2.png"/><Relationship Id="rId19" Type="http://schemas.openxmlformats.org/officeDocument/2006/relationships/hyperlink" Target="https://www.kidsdata.org/?site=full"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apadon@phi.org" TargetMode="External"/><Relationship Id="rId22" Type="http://schemas.openxmlformats.org/officeDocument/2006/relationships/hyperlink" Target="https://library.municode.com/ca/sonoma_county/codes/code_of_ordinances?nodeId=CH32ALITOR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8" Type="http://schemas.openxmlformats.org/officeDocument/2006/relationships/hyperlink" Target="https://doi.org/10.1111/add.14939" TargetMode="External"/><Relationship Id="rId13" Type="http://schemas.openxmlformats.org/officeDocument/2006/relationships/hyperlink" Target="http://www.spokesman.com/stories/2017/jul/28/modern-consumable-cannabis-provides-expanded-flavo/" TargetMode="External"/><Relationship Id="rId18" Type="http://schemas.openxmlformats.org/officeDocument/2006/relationships/hyperlink" Target="https://tobacconomics.org/research/tobacco-control-lessons-learned-the-impact-of-state-and-local-policies/" TargetMode="External"/><Relationship Id="rId3" Type="http://schemas.openxmlformats.org/officeDocument/2006/relationships/hyperlink" Target="http://www.gettingitrightfromthestart.org" TargetMode="External"/><Relationship Id="rId7" Type="http://schemas.openxmlformats.org/officeDocument/2006/relationships/hyperlink" Target="http://monitoringthefuture.org/pubs.html" TargetMode="External"/><Relationship Id="rId12" Type="http://schemas.openxmlformats.org/officeDocument/2006/relationships/hyperlink" Target="https://www.leafly.com/products/edibles" TargetMode="External"/><Relationship Id="rId17" Type="http://schemas.openxmlformats.org/officeDocument/2006/relationships/hyperlink" Target="https://oag.ca.gov/news/press-releases/brown-announces-electronic-cigarette-makers-agreement-stop-deceptive-marketing" TargetMode="External"/><Relationship Id="rId2" Type="http://schemas.openxmlformats.org/officeDocument/2006/relationships/hyperlink" Target="https://www.cdc.gov/tobacco/basic_information/e-cigarettes/severe-lung-disease.html" TargetMode="External"/><Relationship Id="rId16" Type="http://schemas.openxmlformats.org/officeDocument/2006/relationships/hyperlink" Target="https://www.cdc.gov/mmwr/volumes/67/wr/mm6745a5.htm" TargetMode="External"/><Relationship Id="rId1" Type="http://schemas.openxmlformats.org/officeDocument/2006/relationships/hyperlink" Target="http://www.monitoringthefuture.org" TargetMode="External"/><Relationship Id="rId6" Type="http://schemas.openxmlformats.org/officeDocument/2006/relationships/hyperlink" Target="https://www.drugabuse.gov/news-events/news-releases/2019/12/vaping-of-marijuana-on-the-rise-among-teens" TargetMode="External"/><Relationship Id="rId11" Type="http://schemas.openxmlformats.org/officeDocument/2006/relationships/hyperlink" Target="https://www.fda.gov/media/133880/download" TargetMode="External"/><Relationship Id="rId5" Type="http://schemas.openxmlformats.org/officeDocument/2006/relationships/hyperlink" Target="https://www.hhs.gov/surgeongeneral/reports-and-publications/addiction-and-substance-misuse/advisory-on-marijuana-use-and-developing-brain/index.html" TargetMode="External"/><Relationship Id="rId15" Type="http://schemas.openxmlformats.org/officeDocument/2006/relationships/hyperlink" Target="https://www.livescience.com/53644-marijuana-is-stronger-now-than-20-years-ago.html" TargetMode="External"/><Relationship Id="rId10" Type="http://schemas.openxmlformats.org/officeDocument/2006/relationships/hyperlink" Target="http://center4tobaccopolicy.org/tobacco-policy/tobacco-retail-environment/" TargetMode="External"/><Relationship Id="rId19" Type="http://schemas.openxmlformats.org/officeDocument/2006/relationships/hyperlink" Target="https://www.govinfo.gov/content/pkg/FR-2018-03-21/pdf/2018-05655.pdf" TargetMode="External"/><Relationship Id="rId4" Type="http://schemas.openxmlformats.org/officeDocument/2006/relationships/hyperlink" Target="https://www.nap.edu/catalog/24625/the-health-effects-of-cannabis-and-cannabinoids-the-current-state" TargetMode="External"/><Relationship Id="rId9" Type="http://schemas.openxmlformats.org/officeDocument/2006/relationships/hyperlink" Target="http://www.KidsData.org" TargetMode="External"/><Relationship Id="rId14" Type="http://schemas.openxmlformats.org/officeDocument/2006/relationships/hyperlink" Target="https://www.washingtonpost.com/local/public-safety/shatter-super-high-potency-marijuana-now-appearing-on-east-coast/2015/12/23/e09dfde4-a8fa-11e5-bff5-905b92f5f94b_sto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27694-587F-4F18-88FC-D6D46657E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75</Pages>
  <Words>23521</Words>
  <Characters>134072</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Kiara</dc:creator>
  <cp:keywords/>
  <dc:description/>
  <cp:lastModifiedBy>Kiara Gonzalez</cp:lastModifiedBy>
  <cp:revision>3</cp:revision>
  <dcterms:created xsi:type="dcterms:W3CDTF">2021-03-03T17:42:00Z</dcterms:created>
  <dcterms:modified xsi:type="dcterms:W3CDTF">2021-03-30T16:49:00Z</dcterms:modified>
</cp:coreProperties>
</file>